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Aircraft reliability</w:t>
        <w:br/>
        <w:t>programme</w:t>
      </w:r>
    </w:p>
    <w:p>
      <w:r>
        <w:t>Adaptation template</w:t>
      </w:r>
    </w:p>
    <w:p>
      <w:r>
        <w:t>This document is a starting point for a CAMO to adapt and submit under its CAME procedures. It is not an approved programme and does not establish compliance as delivered.</w:t>
      </w:r>
    </w:p>
    <w:p>
      <w:sdt>
        <w:sdtPr>
          <w:id w:val="1"/>
          <w:tag w:val="fact:organisation:1"/>
          <w:alias w:val="organisation"/>
          <w:rPr>
            <w:highlight w:val="yellow"/>
          </w:rPr>
          <w:placeholder>
            <w:docPart w:val="AvioverseFact1"/>
          </w:placeholder>
          <w:showingPlcHdr/>
          <w:text/>
        </w:sdtPr>
        <w:sdtContent>
          <w:r>
            <w:rPr>
              <w:rStyle w:val="PlaceholderText"/>
              <w:highlight w:val="yellow"/>
            </w:rPr>
            <w:t xml:space="preserve">[e.g. ExampleCAMO]</w:t>
          </w:r>
        </w:sdtContent>
      </w:sdt>
      <w:r>
        <w:t xml:space="preserve"> | </w:t>
      </w:r>
      <w:sdt>
        <w:sdtPr>
          <w:id w:val="2"/>
          <w:tag w:val="fact:aircraft_type:2"/>
          <w:alias w:val="aircraft_type"/>
          <w:rPr>
            <w:highlight w:val="yellow"/>
          </w:rPr>
          <w:placeholder>
            <w:docPart w:val="AvioverseFact2"/>
          </w:placeholder>
          <w:showingPlcHdr/>
          <w:text/>
        </w:sdtPr>
        <w:sdtContent>
          <w:r>
            <w:rPr>
              <w:rStyle w:val="PlaceholderText"/>
              <w:highlight w:val="yellow"/>
            </w:rPr>
            <w:t xml:space="preserve">[e.g. Example Type 42]</w:t>
          </w:r>
        </w:sdtContent>
      </w:sdt>
      <w:r>
        <w:t xml:space="preserve"> | </w:t>
      </w:r>
      <w:sdt>
        <w:sdtPr>
          <w:id w:val="3"/>
          <w:tag w:val="fact:reference:3"/>
          <w:alias w:val="reference"/>
          <w:rPr>
            <w:highlight w:val="yellow"/>
          </w:rPr>
          <w:placeholder>
            <w:docPart w:val="AvioverseFact3"/>
          </w:placeholder>
          <w:showingPlcHdr/>
          <w:text/>
        </w:sdtPr>
        <w:sdtContent>
          <w:r>
            <w:rPr>
              <w:rStyle w:val="PlaceholderText"/>
              <w:highlight w:val="yellow"/>
            </w:rPr>
            <w:t xml:space="preserve">[e.g. REL-001]</w:t>
          </w:r>
        </w:sdtContent>
      </w:sdt>
    </w:p>
    <w:tbl>
      <w:tblPr>
        <w:tblStyle w:val="TableGrid"/>
        <w:tblW w:type="auto" w:w="0"/>
        <w:tblLook w:firstColumn="1" w:firstRow="1" w:lastColumn="0" w:lastRow="0" w:noHBand="0" w:noVBand="1" w:val="04A0"/>
      </w:tblPr>
      <w:tblGrid>
        <w:gridCol w:w="9638"/>
      </w:tblGrid>
      <w:tr>
        <w:tc>
          <w:tcPr>
            <w:tcW w:type="dxa" w:w="9638"/>
          </w:tcPr>
          <w:p>
            <w:r>
              <w:rPr>
                <w:b/>
              </w:rPr>
              <w:t>How to fill this in</w:t>
            </w:r>
          </w:p>
          <w:p>
            <w:r>
              <w:t>Yellow means something you can change. Click a yellow word — if a small arrow appears, pick from the list. Click a yellow ☐ to tick it. For a yellow [e.g. …], type your own fact over it. Common choices are already selected; they are starting choices, not prescribed limits.</w:t>
            </w:r>
          </w:p>
          <w:p>
            <w:r>
              <w:t>Text that is not yellow is standard text: keep it. If it does not describe how you work, change it and highlight your change yellow so the reviewer sees it. Keep the headings and setting names.</w:t>
            </w:r>
          </w:p>
          <w:p>
            <w:r>
              <w:t>1. Fill in the choices and your facts; keep an optional answer if it applies, or type the fact over it.</w:t>
            </w:r>
          </w:p>
          <w:p>
            <w:r>
              <w:t>2. Then upload it to an Avioverse project. Ask Metis to read it back and confirm the settings and fleet when correct.</w:t>
            </w:r>
          </w:p>
          <w:p>
            <w:r>
              <w:t>3. Submit it for approval by the route chosen in section 1.</w:t>
            </w:r>
          </w:p>
          <w:p>
            <w:r>
              <w:t>4. After approval, remove highlighting and grey hints from the issued copy, using the finishing steps at the end.</w:t>
            </w:r>
          </w:p>
          <w:p>
            <w:r>
              <w:t>Removing highlighting and grey hints does not change the confirmed settings, so Metis does not ask again. If the settings or fleet change, Metis asks for confirmation again.</w:t>
            </w:r>
          </w:p>
        </w:tc>
      </w:tr>
    </w:tbl>
    <w:p>
      <w:r>
        <w:t xml:space="preserve">We keep one programme for each aircraft type. Reliability reports are prepared by: </w:t>
      </w:r>
      <w:sdt>
        <w:sdtPr>
          <w:id w:val="4"/>
          <w:tag w:val="pick:choice:4"/>
          <w:alias w:val="Choose or edit"/>
          <w:rPr>
            <w:highlight w:val="yellow"/>
          </w:rPr>
          <w:dropDownList w:lastValue="our CAMO">
            <w:listItem w:value="our CAMO" w:displayText="our CAMO"/>
            <w:listItem w:value="a contracted reliability service" w:displayText="a contracted reliability service"/>
          </w:dropDownList>
        </w:sdtPr>
        <w:sdtContent>
          <w:r>
            <w:rPr>
              <w:highlight w:val="yellow"/>
            </w:rPr>
            <w:t xml:space="preserve">our CAMO</w:t>
          </w:r>
        </w:sdtContent>
      </w:sdt>
      <w:r>
        <w:t>. Our CAMO reviews the evidence and decides what action to take in either case. The responsible posts and working arrangements are in section 13.</w:t>
      </w:r>
    </w:p>
    <w:p>
      <w:r>
        <w:t>References: “Appendix I” means Appendix I to AMC M.A.302 and AMC M.B.301(b), point 6. Part-M provisions identify the legal requirements. Appendix I provides the programme guidance. FAA AC 120-17B provides methods; it is not EASA law. Its US approval privileges do not apply to this programme (AC 1.1.2; 1.5.3).</w:t>
      </w:r>
    </w:p>
    <w:p>
      <w:r>
        <w:t>The sample thresholds, frequencies and register layouts are programme choices. They are not values prescribed by Appendix I. Section references in Appendix A provide a review aid, not a finding of compliance.</w:t>
      </w:r>
    </w:p>
    <w:p>
      <w:pPr>
        <w:pStyle w:val="Heading1"/>
      </w:pPr>
      <w:r>
        <w:t>1. Document control</w:t>
      </w:r>
      <w:r>
        <w:rPr>
          <w:color w:val="50636A"/>
          <w:sz w:val="18"/>
        </w:rPr>
        <w:br/>
        <w:t>Appendix I 6.5; 6.5.8; 6.5.10; 1.1.3; 1.1.5; 1.1.8</w:t>
        <w:t xml:space="preserve"> | AC 120-17B 2.1.2</w:t>
        <w:t xml:space="preserve"> | M.A.302(b)–(c)</w:t>
      </w:r>
    </w:p>
    <w:p>
      <w:r>
        <w:t xml:space="preserve">Our programme owner is named in section 13. Document reference: </w:t>
      </w:r>
      <w:sdt>
        <w:sdtPr>
          <w:id w:val="5"/>
          <w:tag w:val="fact:reference:5"/>
          <w:alias w:val="reference"/>
          <w:rPr>
            <w:highlight w:val="yellow"/>
          </w:rPr>
          <w:placeholder>
            <w:docPart w:val="AvioverseFact5"/>
          </w:placeholder>
          <w:showingPlcHdr/>
          <w:text/>
        </w:sdtPr>
        <w:sdtContent>
          <w:r>
            <w:rPr>
              <w:rStyle w:val="PlaceholderText"/>
              <w:highlight w:val="yellow"/>
            </w:rPr>
            <w:t xml:space="preserve">[e.g. REL-001]</w:t>
          </w:r>
        </w:sdtContent>
      </w:sdt>
      <w:r>
        <w:t xml:space="preserve">. Related AMP and revision: </w:t>
      </w:r>
      <w:sdt>
        <w:sdtPr>
          <w:id w:val="6"/>
          <w:tag w:val="fact:reference:6"/>
          <w:alias w:val="reference"/>
          <w:rPr>
            <w:highlight w:val="yellow"/>
          </w:rPr>
          <w:placeholder>
            <w:docPart w:val="AvioverseFact6"/>
          </w:placeholder>
          <w:showingPlcHdr/>
          <w:text/>
        </w:sdtPr>
        <w:sdtContent>
          <w:r>
            <w:rPr>
              <w:rStyle w:val="PlaceholderText"/>
              <w:highlight w:val="yellow"/>
            </w:rPr>
            <w:t xml:space="preserve">[e.g. AMP-042 revision 1]</w:t>
          </w:r>
        </w:sdtContent>
      </w:sdt>
      <w:r>
        <w:t xml:space="preserve">. Related CAME procedure: </w:t>
      </w:r>
      <w:sdt>
        <w:sdtPr>
          <w:id w:val="7"/>
          <w:tag w:val="fact:reference:7"/>
          <w:alias w:val="reference"/>
          <w:rPr>
            <w:highlight w:val="yellow"/>
          </w:rPr>
          <w:placeholder>
            <w:docPart w:val="AvioverseFact7"/>
          </w:placeholder>
          <w:showingPlcHdr/>
          <w:text/>
        </w:sdtPr>
        <w:sdtContent>
          <w:r>
            <w:rPr>
              <w:rStyle w:val="PlaceholderText"/>
              <w:highlight w:val="yellow"/>
            </w:rPr>
            <w:t xml:space="preserve">[e.g. CAME 1.2]</w:t>
          </w:r>
        </w:sdtContent>
      </w:sdt>
      <w:r>
        <w:t>.</w:t>
      </w:r>
    </w:p>
    <w:p>
      <w:r>
        <w:t>The document owner records each change and its reason in the revision table; our authorised reviewer checks technical content and linked procedures. Internal authorisation does not replace competent-authority approval. We record the approval name only after approval is given.</w:t>
      </w:r>
    </w:p>
    <w:tbl>
      <w:tblPr>
        <w:tblStyle w:val="TableGrid"/>
        <w:tblW w:type="auto" w:w="0"/>
        <w:tblLayout w:type="fixed"/>
        <w:tblLook w:firstColumn="1" w:firstRow="1" w:lastColumn="0" w:lastRow="0" w:noHBand="0" w:noVBand="1" w:val="04A0"/>
      </w:tblPr>
      <w:tblGrid>
        <w:gridCol w:w="1020"/>
        <w:gridCol w:w="1361"/>
        <w:gridCol w:w="3515"/>
        <w:gridCol w:w="1871"/>
        <w:gridCol w:w="1871"/>
      </w:tblGrid>
      <w:tr>
        <w:trPr>
          <w:cantSplit/>
          <w:tblHeader/>
        </w:trPr>
        <w:tc>
          <w:tcPr>
            <w:tcW w:type="dxa" w:w="1020"/>
            <w:shd w:fill="E5EEF0"/>
          </w:tcPr>
          <w:p>
            <w:pPr>
              <w:keepNext/>
              <w:spacing w:after="80" w:before="80"/>
            </w:pPr>
            <w:r>
              <w:rPr>
                <w:b/>
                <w:sz w:val="18"/>
              </w:rPr>
              <w:t>Revision</w:t>
            </w:r>
          </w:p>
        </w:tc>
        <w:tc>
          <w:tcPr>
            <w:tcW w:type="dxa" w:w="1361"/>
            <w:shd w:fill="E5EEF0"/>
          </w:tcPr>
          <w:p>
            <w:pPr>
              <w:keepNext/>
              <w:spacing w:after="80" w:before="80"/>
            </w:pPr>
            <w:r>
              <w:rPr>
                <w:b/>
                <w:sz w:val="18"/>
              </w:rPr>
              <w:t>Date</w:t>
            </w:r>
          </w:p>
        </w:tc>
        <w:tc>
          <w:tcPr>
            <w:tcW w:type="dxa" w:w="3515"/>
            <w:shd w:fill="E5EEF0"/>
          </w:tcPr>
          <w:p>
            <w:pPr>
              <w:keepNext/>
              <w:spacing w:after="80" w:before="80"/>
            </w:pPr>
            <w:r>
              <w:rPr>
                <w:b/>
                <w:sz w:val="18"/>
              </w:rPr>
              <w:t>Description</w:t>
            </w:r>
          </w:p>
        </w:tc>
        <w:tc>
          <w:tcPr>
            <w:tcW w:type="dxa" w:w="1871"/>
            <w:shd w:fill="E5EEF0"/>
          </w:tcPr>
          <w:p>
            <w:pPr>
              <w:keepNext/>
              <w:spacing w:after="80" w:before="80"/>
            </w:pPr>
            <w:r>
              <w:rPr>
                <w:b/>
                <w:sz w:val="18"/>
              </w:rPr>
              <w:t>Prepared by</w:t>
            </w:r>
          </w:p>
        </w:tc>
        <w:tc>
          <w:tcPr>
            <w:tcW w:type="dxa" w:w="1871"/>
            <w:shd w:fill="E5EEF0"/>
          </w:tcPr>
          <w:p>
            <w:pPr>
              <w:keepNext/>
              <w:spacing w:after="80" w:before="80"/>
            </w:pPr>
            <w:r>
              <w:rPr>
                <w:b/>
                <w:sz w:val="18"/>
              </w:rPr>
              <w:t>Approved by</w:t>
            </w:r>
          </w:p>
        </w:tc>
      </w:tr>
      <w:tr>
        <w:trPr>
          <w:cantSplit/>
        </w:trPr>
        <w:tc>
          <w:tcPr>
            <w:tcW w:type="dxa" w:w="1020"/>
          </w:tcPr>
          <w:p>
            <w:pPr>
              <w:keepNext w:val="0"/>
              <w:spacing w:after="80" w:before="80"/>
            </w:pPr>
            <w:sdt>
              <w:sdtPr>
                <w:id w:val="8"/>
                <w:tag w:val="fact:revision:8"/>
                <w:alias w:val="revision"/>
                <w:rPr>
                  <w:highlight w:val="yellow"/>
                </w:rPr>
                <w:placeholder>
                  <w:docPart w:val="AvioverseFact8"/>
                </w:placeholder>
                <w:showingPlcHdr/>
                <w:text/>
              </w:sdtPr>
              <w:sdtContent>
                <w:r>
                  <w:rPr>
                    <w:rStyle w:val="PlaceholderText"/>
                    <w:highlight w:val="yellow"/>
                  </w:rPr>
                  <w:t xml:space="preserve">[e.g. 1]</w:t>
                </w:r>
              </w:sdtContent>
            </w:sdt>
          </w:p>
        </w:tc>
        <w:tc>
          <w:tcPr>
            <w:tcW w:type="dxa" w:w="1361"/>
          </w:tcPr>
          <w:p>
            <w:pPr>
              <w:keepNext w:val="0"/>
              <w:spacing w:after="80" w:before="80"/>
            </w:pPr>
            <w:sdt>
              <w:sdtPr>
                <w:id w:val="9"/>
                <w:tag w:val="fact:date:9"/>
                <w:alias w:val="date"/>
                <w:rPr>
                  <w:highlight w:val="yellow"/>
                </w:rPr>
                <w:placeholder>
                  <w:docPart w:val="AvioverseFact9"/>
                </w:placeholder>
                <w:showingPlcHdr/>
                <w:text/>
              </w:sdtPr>
              <w:sdtContent>
                <w:r>
                  <w:rPr>
                    <w:rStyle w:val="PlaceholderText"/>
                    <w:highlight w:val="yellow"/>
                  </w:rPr>
                  <w:t xml:space="preserve">[e.g. 2026-10-20]</w:t>
                </w:r>
              </w:sdtContent>
            </w:sdt>
          </w:p>
        </w:tc>
        <w:tc>
          <w:tcPr>
            <w:tcW w:type="dxa" w:w="3515"/>
          </w:tcPr>
          <w:p>
            <w:pPr>
              <w:keepNext w:val="0"/>
              <w:spacing w:after="80" w:before="80"/>
            </w:pPr>
            <w:sdt>
              <w:sdtPr>
                <w:id w:val="10"/>
                <w:tag w:val="pick:choice:10"/>
                <w:alias w:val="Choose or edit"/>
                <w:rPr>
                  <w:highlight w:val="yellow"/>
                </w:rPr>
                <w:dropDownList w:lastValue="Initial issue">
                  <w:listItem w:value="Initial issue" w:displayText="Initial issue"/>
                  <w:listItem w:value="Routine revision" w:displayText="Routine revision"/>
                  <w:listItem w:value="Fleet or method change" w:displayText="Fleet or method change"/>
                </w:dropDownList>
              </w:sdtPr>
              <w:sdtContent>
                <w:r>
                  <w:rPr>
                    <w:highlight w:val="yellow"/>
                  </w:rPr>
                  <w:t xml:space="preserve">Initial issue</w:t>
                </w:r>
              </w:sdtContent>
            </w:sdt>
          </w:p>
        </w:tc>
        <w:tc>
          <w:tcPr>
            <w:tcW w:type="dxa" w:w="1871"/>
          </w:tcPr>
          <w:p>
            <w:pPr>
              <w:keepNext w:val="0"/>
              <w:spacing w:after="80" w:before="80"/>
            </w:pPr>
            <w:sdt>
              <w:sdtPr>
                <w:id w:val="11"/>
                <w:tag w:val="fact:name:11"/>
                <w:alias w:val="name"/>
                <w:rPr>
                  <w:highlight w:val="yellow"/>
                </w:rPr>
                <w:placeholder>
                  <w:docPart w:val="AvioverseFact11"/>
                </w:placeholder>
                <w:showingPlcHdr/>
                <w:text/>
              </w:sdtPr>
              <w:sdtContent>
                <w:r>
                  <w:rPr>
                    <w:rStyle w:val="PlaceholderText"/>
                    <w:highlight w:val="yellow"/>
                  </w:rPr>
                  <w:t xml:space="preserve">[e.g. A. Example]</w:t>
                </w:r>
              </w:sdtContent>
            </w:sdt>
          </w:p>
        </w:tc>
        <w:tc>
          <w:tcPr>
            <w:tcW w:type="dxa" w:w="1871"/>
          </w:tcPr>
          <w:p>
            <w:pPr>
              <w:keepNext w:val="0"/>
              <w:spacing w:after="80" w:before="80"/>
            </w:pPr>
            <w:sdt>
              <w:sdtPr>
                <w:id w:val="12"/>
                <w:tag w:val="combo:name:12"/>
                <w:alias w:val="name"/>
                <w:rPr>
                  <w:highlight w:val="yellow"/>
                </w:rPr>
                <w:comboBox w:lastValue="Not yet approved">
                  <w:listItem w:value="Not yet approved" w:displayText="Not yet approved"/>
                </w:comboBox>
              </w:sdtPr>
              <w:sdtContent>
                <w:r>
                  <w:rPr>
                    <w:highlight w:val="yellow"/>
                  </w:rPr>
                  <w:t xml:space="preserve">Not yet approved</w:t>
                </w:r>
              </w:sdtContent>
            </w:sdt>
          </w:p>
        </w:tc>
      </w:tr>
    </w:tbl>
    <w:p>
      <w:r>
        <w:t xml:space="preserve">We submit this programme and changes by </w:t>
      </w:r>
      <w:sdt>
        <w:sdtPr>
          <w:id w:val="13"/>
          <w:tag w:val="pick:choice:13"/>
          <w:alias w:val="Choose or edit"/>
          <w:rPr>
            <w:highlight w:val="yellow"/>
          </w:rPr>
          <w:dropDownList w:lastValue="direct approval by the competent authority">
            <w:listItem w:value="direct approval by the competent authority" w:displayText="direct approval by the competent authority"/>
            <w:listItem w:value="the indirect approval procedure already authorised in our CAME, within its scope" w:displayText="the indirect approval procedure already authorised in our CAME, within its scope"/>
          </w:dropDownList>
        </w:sdtPr>
        <w:sdtContent>
          <w:r>
            <w:rPr>
              <w:highlight w:val="yellow"/>
            </w:rPr>
            <w:t xml:space="preserve">direct approval by the competent authority</w:t>
          </w:r>
        </w:sdtContent>
      </w:sdt>
      <w:r>
        <w:t xml:space="preserve">. If approval has been issued, its reference is </w:t>
      </w:r>
      <w:sdt>
        <w:sdtPr>
          <w:id w:val="14"/>
          <w:tag w:val="combo:reference:14"/>
          <w:alias w:val="reference"/>
          <w:rPr>
            <w:highlight w:val="yellow"/>
          </w:rPr>
          <w:comboBox w:lastValue="Not issued yet">
            <w:listItem w:value="Not issued yet" w:displayText="Not issued yet"/>
          </w:comboBox>
        </w:sdtPr>
        <w:sdtContent>
          <w:r>
            <w:rPr>
              <w:highlight w:val="yellow"/>
            </w:rPr>
            <w:t xml:space="preserve">Not issued yet</w:t>
          </w:r>
        </w:sdtContent>
      </w:sdt>
      <w:r>
        <w:t xml:space="preserve"> and date is </w:t>
      </w:r>
      <w:sdt>
        <w:sdtPr>
          <w:id w:val="15"/>
          <w:tag w:val="combo:date:15"/>
          <w:alias w:val="date"/>
          <w:rPr>
            <w:highlight w:val="yellow"/>
          </w:rPr>
          <w:comboBox w:lastValue="Not issued yet">
            <w:listItem w:value="Not issued yet" w:displayText="Not issued yet"/>
          </w:comboBox>
        </w:sdtPr>
        <w:sdtContent>
          <w:r>
            <w:rPr>
              <w:highlight w:val="yellow"/>
            </w:rPr>
            <w:t xml:space="preserve">Not issued yet</w:t>
          </w:r>
        </w:sdtContent>
      </w:sdt>
      <w:r>
        <w:t>. Until then it remains a draft.</w:t>
      </w:r>
    </w:p>
    <w:p>
      <w:r>
        <w:t xml:space="preserve">The </w:t>
      </w:r>
      <w:r>
        <w:t>programme owner</w:t>
      </w:r>
      <w:r>
        <w:t xml:space="preserve"> issues the effective revision to our engineering, maintenance and operations contacts and withdraws superseded working copies. We keep the controlled master in </w:t>
      </w:r>
      <w:sdt>
        <w:sdtPr>
          <w:id w:val="16"/>
          <w:tag w:val="pick:choice:16"/>
          <w:alias w:val="Choose or edit"/>
          <w:rPr>
            <w:highlight w:val="yellow"/>
          </w:rPr>
          <w:dropDownList w:lastValue="our controlled electronic document system">
            <w:listItem w:value="our controlled electronic document system" w:displayText="our controlled electronic document system"/>
            <w:listItem w:value="our controlled paper master and distribution register" w:displayText="our controlled paper master and distribution register"/>
          </w:dropDownList>
        </w:sdtPr>
        <w:sdtContent>
          <w:r>
            <w:rPr>
              <w:highlight w:val="yellow"/>
            </w:rPr>
            <w:t xml:space="preserve">our controlled electronic document system</w:t>
          </w:r>
        </w:sdtContent>
      </w:sdt>
      <w:r>
        <w:t>.</w:t>
      </w:r>
    </w:p>
    <w:p>
      <w:r>
        <w:t>Our distribution record shows the revision, recipients and issue date. We retain the old revision and its approval evidence as history, clearly marked superseded.</w:t>
      </w:r>
    </w:p>
    <w:p>
      <w:r>
        <w:t>Navigation: 2 purpose; 3 objectives; 4 fleet; 5 controlled items; 6 definitions; 7 data; 8 settings; 9 displays; 10 analysis; 11 alert levels; 12 actions; 13 responsibilities; 14 reports; 15 review; 16 AMP changes; 17 pooling; A source cross-reference; B registers. Word’s navigation pane also lists the headings.</w:t>
      </w:r>
    </w:p>
    <w:p>
      <w:pPr>
        <w:pStyle w:val="Heading1"/>
      </w:pPr>
      <w:r>
        <w:t>2. Purpose and applicability</w:t>
      </w:r>
      <w:r>
        <w:rPr>
          <w:color w:val="50636A"/>
          <w:sz w:val="18"/>
        </w:rPr>
        <w:br/>
        <w:t>Appendix I 6.1; 6.2.2</w:t>
        <w:t xml:space="preserve"> | AC 120-17B 2.1.2(2)</w:t>
        <w:t xml:space="preserve"> | M.A.302(g); M.A.301(e)</w:t>
      </w:r>
    </w:p>
    <w:p>
      <w:r>
        <w:t>This programme monitors the maintenance effectiveness and reliability of the aircraft type named in section 8. It supports the AMP identified in section 1. Its fleet and controlled items are defined in sections 4 and 5.</w:t>
      </w:r>
    </w:p>
    <w:p>
      <w:r>
        <w:t>M.A.302(g) requires a reliability programme for complex motor-powered aircraft when their AMP uses maintenance steering group logic or condition monitoring. Appendix I 6.1.1 identifies MSG-3 logic, condition-monitored components, the absence of overhaul periods for all significant system components, and an MRB or manufacturer MPD specification as triggers.</w:t>
      </w:r>
    </w:p>
    <w:p>
      <w:r>
        <w:t>Appendix I 6.1.2 lists cases in which a programme need not be developed: MSG-1 or MSG-2 with only hard-time or on-condition items; aircraft that are not complex motor-powered aircraft; or overhaul periods for all significant system components. A significant system is one whose failure could put aircraft safety at risk. Our choices below record the actual AMP basis. We retain required reliability monitoring even with a small fleet.</w:t>
      </w:r>
    </w:p>
    <w:p>
      <w:r>
        <w:t>A CAMO may also choose reliability monitoring for maintenance-planning benefit under Appendix I 6.1.3. A small fleet does not remove an otherwise applicable programme requirement (6.2.2).</w:t>
      </w:r>
    </w:p>
    <w:p>
      <w:r>
        <w:t xml:space="preserve">Our aircraft are </w:t>
      </w:r>
      <w:sdt>
        <w:sdtPr>
          <w:id w:val="17"/>
          <w:tag w:val="pick:choice:17"/>
          <w:alias w:val="Choose or edit"/>
          <w:rPr>
            <w:highlight w:val="yellow"/>
          </w:rPr>
          <w:dropDownList w:lastValue="complex motor-powered aircraft">
            <w:listItem w:value="complex motor-powered aircraft" w:displayText="complex motor-powered aircraft"/>
            <w:listItem w:value="other aircraft" w:displayText="other aircraft"/>
          </w:dropDownList>
        </w:sdtPr>
        <w:sdtContent>
          <w:r>
            <w:rPr>
              <w:highlight w:val="yellow"/>
            </w:rPr>
            <w:t xml:space="preserve">complex motor-powered aircraft</w:t>
          </w:r>
        </w:sdtContent>
      </w:sdt>
      <w:r>
        <w:t xml:space="preserve">. The AMP is based on </w:t>
      </w:r>
      <w:sdt>
        <w:sdtPr>
          <w:id w:val="18"/>
          <w:tag w:val="pick:choice:18"/>
          <w:alias w:val="Choose or edit"/>
          <w:rPr>
            <w:highlight w:val="yellow"/>
          </w:rPr>
          <w:dropDownList w:lastValue="MSG-3">
            <w:listItem w:value="MSG-3" w:displayText="MSG-3"/>
            <w:listItem w:value="condition monitoring" w:displayText="condition monitoring"/>
            <w:listItem w:value="MSG-1 or MSG-2" w:displayText="MSG-1 or MSG-2"/>
            <w:listItem w:value="the manufacturer maintenance schedule" w:displayText="the manufacturer maintenance schedule"/>
          </w:dropDownList>
        </w:sdtPr>
        <w:sdtContent>
          <w:r>
            <w:rPr>
              <w:highlight w:val="yellow"/>
            </w:rPr>
            <w:t xml:space="preserve">MSG-3</w:t>
          </w:r>
        </w:sdtContent>
      </w:sdt>
      <w:r>
        <w:t xml:space="preserve">. The source document and revision are </w:t>
      </w:r>
      <w:sdt>
        <w:sdtPr>
          <w:id w:val="19"/>
          <w:tag w:val="fact:reference:19"/>
          <w:alias w:val="reference"/>
          <w:rPr>
            <w:highlight w:val="yellow"/>
          </w:rPr>
          <w:placeholder>
            <w:docPart w:val="AvioverseFact19"/>
          </w:placeholder>
          <w:showingPlcHdr/>
          <w:text/>
        </w:sdtPr>
        <w:sdtContent>
          <w:r>
            <w:rPr>
              <w:rStyle w:val="PlaceholderText"/>
              <w:highlight w:val="yellow"/>
            </w:rPr>
            <w:t xml:space="preserve">[e.g. MPD-042 revision 1]</w:t>
          </w:r>
        </w:sdtContent>
      </w:sdt>
      <w:r>
        <w:t>.</w:t>
      </w:r>
    </w:p>
    <w:p>
      <w:r>
        <w:t xml:space="preserve">We use this programme because </w:t>
      </w:r>
      <w:sdt>
        <w:sdtPr>
          <w:id w:val="20"/>
          <w:tag w:val="pick:choice:20"/>
          <w:alias w:val="Choose or edit"/>
          <w:rPr>
            <w:highlight w:val="yellow"/>
          </w:rPr>
          <w:dropDownList w:lastValue="our AMP uses MSG-3 or condition monitoring">
            <w:listItem w:value="our AMP uses MSG-3 or condition monitoring" w:displayText="our AMP uses MSG-3 or condition monitoring"/>
            <w:listItem w:value="the manufacturer MPD or MRB specifies reliability monitoring" w:displayText="the manufacturer MPD or MRB specifies reliability monitoring"/>
            <w:listItem w:value="not all significant system components have overhaul periods" w:displayText="not all significant system components have overhaul periods"/>
            <w:listItem w:value="we choose voluntary monitoring to improve maintenance planning" w:displayText="we choose voluntary monitoring to improve maintenance planning"/>
          </w:dropDownList>
        </w:sdtPr>
        <w:sdtContent>
          <w:r>
            <w:rPr>
              <w:highlight w:val="yellow"/>
            </w:rPr>
            <w:t xml:space="preserve">our AMP uses MSG-3 or condition monitoring</w:t>
          </w:r>
        </w:sdtContent>
      </w:sdt>
      <w:r>
        <w:t>. It covers the full fleet of this type listed in section 4.</w:t>
      </w:r>
    </w:p>
    <w:p>
      <w:r>
        <w:t xml:space="preserve">Our main operation is </w:t>
      </w:r>
      <w:sdt>
        <w:sdtPr>
          <w:id w:val="21"/>
          <w:tag w:val="pick:choice:21"/>
          <w:alias w:val="Choose or edit"/>
          <w:rPr>
            <w:highlight w:val="yellow"/>
          </w:rPr>
          <w:dropDownList w:lastValue="commercial air transport">
            <w:listItem w:value="commercial air transport" w:displayText="commercial air transport"/>
            <w:listItem w:value="non-commercial operations" w:displayText="non-commercial operations"/>
            <w:listItem w:value="specialised operations" w:displayText="specialised operations"/>
          </w:dropDownList>
        </w:sdtPr>
        <w:sdtContent>
          <w:r>
            <w:rPr>
              <w:highlight w:val="yellow"/>
            </w:rPr>
            <w:t xml:space="preserve">commercial air transport</w:t>
          </w:r>
        </w:sdtContent>
      </w:sdt>
      <w:r>
        <w:t xml:space="preserve">. Our utilisation is </w:t>
      </w:r>
      <w:sdt>
        <w:sdtPr>
          <w:id w:val="22"/>
          <w:tag w:val="pick:choice:22"/>
          <w:alias w:val="Choose or edit"/>
          <w:rPr>
            <w:highlight w:val="yellow"/>
          </w:rPr>
          <w:dropDownList w:lastValue="regular throughout the year">
            <w:listItem w:value="regular throughout the year" w:displayText="regular throughout the year"/>
            <w:listItem w:value="seasonal" w:displayText="seasonal"/>
            <w:listItem w:value="low utilisation" w:displayText="low utilisation"/>
          </w:dropDownList>
        </w:sdtPr>
        <w:sdtContent>
          <w:r>
            <w:rPr>
              <w:highlight w:val="yellow"/>
            </w:rPr>
            <w:t xml:space="preserve">regular throughout the year</w:t>
          </w:r>
        </w:sdtContent>
      </w:sdt>
      <w:r>
        <w:t xml:space="preserve">. We review actual hours and cycles each month. Operating environments to consider: </w:t>
      </w:r>
      <w:sdt>
        <w:sdtPr>
          <w:id w:val="23"/>
          <w:tag w:val="tick:choice:23"/>
          <w:alias w:val="temperate"/>
          <w:rPr>
            <w:rFonts w:ascii="MS Gothic" w:hAnsi="MS Gothic" w:eastAsia="MS Gothic" w:cs="MS Gothic"/>
            <w:highlight w:val="yellow"/>
          </w:rPr>
          <w14:checkbox>
            <w14:checked w14:val="1"/>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temperate</w:t>
      </w:r>
      <w:r>
        <w:t xml:space="preserve">; </w:t>
      </w:r>
      <w:sdt>
        <w:sdtPr>
          <w:id w:val="24"/>
          <w:tag w:val="tick:choice:24"/>
          <w:alias w:val="hot or dusty"/>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hot or dusty</w:t>
      </w:r>
      <w:r>
        <w:t xml:space="preserve">; </w:t>
      </w:r>
      <w:sdt>
        <w:sdtPr>
          <w:id w:val="25"/>
          <w:tag w:val="tick:choice:25"/>
          <w:alias w:val="coastal or corrosive"/>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coastal or corrosive</w:t>
      </w:r>
      <w:r>
        <w:t xml:space="preserve">; </w:t>
      </w:r>
      <w:sdt>
        <w:sdtPr>
          <w:id w:val="26"/>
          <w:tag w:val="tick:choice:26"/>
          <w:alias w:val="cold weather"/>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cold weather</w:t>
      </w:r>
      <w:r>
        <w:t>.</w:t>
      </w:r>
    </w:p>
    <w:p>
      <w:r>
        <w:t xml:space="preserve">Specific operating-approval data to include, only where the approval is held: </w:t>
      </w:r>
      <w:sdt>
        <w:sdtPr>
          <w:id w:val="27"/>
          <w:tag w:val="tick:choice:27"/>
          <w:alias w:val="ETOPS"/>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ETOPS</w:t>
      </w:r>
      <w:r>
        <w:t xml:space="preserve">; </w:t>
      </w:r>
      <w:sdt>
        <w:sdtPr>
          <w:id w:val="28"/>
          <w:tag w:val="tick:choice:28"/>
          <w:alias w:val="RVSM"/>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RVSM</w:t>
      </w:r>
      <w:r>
        <w:t xml:space="preserve">; </w:t>
      </w:r>
      <w:sdt>
        <w:sdtPr>
          <w:id w:val="29"/>
          <w:tag w:val="tick:choice:29"/>
          <w:alias w:val="CAT II/III"/>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t xml:space="preserve"> CAT II/III</w:t>
      </w:r>
      <w:r>
        <w:t>. We use the applicable approval and operating records; a tick does not grant an approval.</w:t>
      </w:r>
    </w:p>
    <w:p>
      <w:pPr>
        <w:pStyle w:val="Fillinghint"/>
      </w:pPr>
      <w:r>
        <w:t>Pick the descriptions that match your AMP and operation; type the source reference.</w:t>
      </w:r>
    </w:p>
    <w:p>
      <w:pPr>
        <w:pStyle w:val="Heading1"/>
      </w:pPr>
      <w:r>
        <w:t>3. Objectives</w:t>
      </w:r>
      <w:r>
        <w:rPr>
          <w:color w:val="50636A"/>
          <w:sz w:val="18"/>
        </w:rPr>
        <w:br/>
        <w:t>Appendix I 6.5.1.1–6.5.1.3</w:t>
        <w:t xml:space="preserve"> | AC 120-17B 5.2</w:t>
        <w:t xml:space="preserve"> | M.A.301(e)</w:t>
      </w:r>
    </w:p>
    <w:p>
      <w:r>
        <w:t xml:space="preserve">Our objectives cover the controlled items and operating scope. We aim to find deterioration early, establish its cause, choose a response and check that it works. We review pilot and maintenance reports, interruptions, repetitive defects and maintenance findings against the manufacturer guidance in </w:t>
      </w:r>
      <w:sdt>
        <w:sdtPr>
          <w:id w:val="30"/>
          <w:tag w:val="fact:reference:30"/>
          <w:alias w:val="reference"/>
          <w:rPr>
            <w:highlight w:val="yellow"/>
          </w:rPr>
          <w:placeholder>
            <w:docPart w:val="AvioverseFact30"/>
          </w:placeholder>
          <w:showingPlcHdr/>
          <w:text/>
        </w:sdtPr>
        <w:sdtContent>
          <w:r>
            <w:rPr>
              <w:rStyle w:val="PlaceholderText"/>
              <w:highlight w:val="yellow"/>
            </w:rPr>
            <w:t xml:space="preserve">[e.g. MPD-042 revision 1]</w:t>
          </w:r>
        </w:sdtContent>
      </w:sdt>
      <w:r>
        <w:t>.</w:t>
      </w:r>
    </w:p>
    <w:p>
      <w:r>
        <w:t>For an MSG-3 AMP, we keep a task-to-evidence list covering all MSG-3-related tasks and their intervals, including tasks monitored in separate programmes. We review findings, in-service defects and missing evidence; a low defect count alone does not demonstrate effectiveness. Section 10.6 sets the review process.</w:t>
      </w:r>
    </w:p>
    <w:p>
      <w:pPr>
        <w:pStyle w:val="Fillinghint"/>
      </w:pPr>
      <w:r>
        <w:t>Keep this text if it describes how you work; change the yellow words if not.</w:t>
      </w:r>
    </w:p>
    <w:p>
      <w:pPr>
        <w:pStyle w:val="Heading1"/>
      </w:pPr>
      <w:r>
        <w:t>4. Fleet</w:t>
      </w:r>
      <w:r>
        <w:rPr>
          <w:color w:val="50636A"/>
          <w:sz w:val="18"/>
        </w:rPr>
        <w:br/>
        <w:t>Appendix I 6.5.2; 6.2.1</w:t>
        <w:t xml:space="preserve"> | AC 120-17B 2.1.2(2)</w:t>
      </w:r>
    </w:p>
    <w:p>
      <w:pPr>
        <w:pStyle w:val="Fillinghint"/>
      </w:pPr>
      <w:r>
        <w:t>Type the aircraft facts; copy a row for another aircraft. Match Type to section 8. Keep None or Still in the programme where applicable; otherwise type the variant or end date (e.g. 2026-06-30). Use YYYY-MM-DD dates.</w:t>
      </w:r>
    </w:p>
    <w:tbl>
      <w:tblPr>
        <w:tblStyle w:val="TableGrid"/>
        <w:tblW w:type="auto" w:w="0"/>
        <w:tblLayout w:type="fixed"/>
        <w:tblLook w:firstColumn="1" w:firstRow="1" w:lastColumn="0" w:lastRow="0" w:noHBand="0" w:noVBand="1" w:val="04A0"/>
      </w:tblPr>
      <w:tblGrid>
        <w:gridCol w:w="1531"/>
        <w:gridCol w:w="1417"/>
        <w:gridCol w:w="1644"/>
        <w:gridCol w:w="1417"/>
        <w:gridCol w:w="1814"/>
        <w:gridCol w:w="1814"/>
      </w:tblGrid>
      <w:tr>
        <w:trPr>
          <w:cantSplit/>
          <w:tblHeader/>
        </w:trPr>
        <w:tc>
          <w:tcPr>
            <w:tcW w:type="dxa" w:w="1531"/>
            <w:shd w:fill="E5EEF0"/>
          </w:tcPr>
          <w:p>
            <w:pPr>
              <w:keepNext/>
              <w:spacing w:after="80" w:before="80"/>
            </w:pPr>
            <w:r>
              <w:rPr>
                <w:b/>
                <w:sz w:val="18"/>
              </w:rPr>
              <w:t>Registration</w:t>
            </w:r>
          </w:p>
        </w:tc>
        <w:tc>
          <w:tcPr>
            <w:tcW w:type="dxa" w:w="1417"/>
            <w:shd w:fill="E5EEF0"/>
          </w:tcPr>
          <w:p>
            <w:pPr>
              <w:keepNext/>
              <w:spacing w:after="80" w:before="80"/>
            </w:pPr>
            <w:r>
              <w:rPr>
                <w:b/>
                <w:sz w:val="18"/>
              </w:rPr>
              <w:t>MSN</w:t>
            </w:r>
          </w:p>
        </w:tc>
        <w:tc>
          <w:tcPr>
            <w:tcW w:type="dxa" w:w="1644"/>
            <w:shd w:fill="E5EEF0"/>
          </w:tcPr>
          <w:p>
            <w:pPr>
              <w:keepNext/>
              <w:spacing w:after="80" w:before="80"/>
            </w:pPr>
            <w:r>
              <w:rPr>
                <w:b/>
                <w:sz w:val="18"/>
              </w:rPr>
              <w:t>Type</w:t>
            </w:r>
          </w:p>
        </w:tc>
        <w:tc>
          <w:tcPr>
            <w:tcW w:type="dxa" w:w="1417"/>
            <w:shd w:fill="E5EEF0"/>
          </w:tcPr>
          <w:p>
            <w:pPr>
              <w:keepNext/>
              <w:spacing w:after="80" w:before="80"/>
            </w:pPr>
            <w:r>
              <w:rPr>
                <w:b/>
                <w:sz w:val="18"/>
              </w:rPr>
              <w:t>Variant</w:t>
            </w:r>
          </w:p>
        </w:tc>
        <w:tc>
          <w:tcPr>
            <w:tcW w:type="dxa" w:w="1814"/>
            <w:shd w:fill="E5EEF0"/>
          </w:tcPr>
          <w:p>
            <w:pPr>
              <w:keepNext/>
              <w:spacing w:after="80" w:before="80"/>
            </w:pPr>
            <w:r>
              <w:rPr>
                <w:b/>
                <w:sz w:val="18"/>
              </w:rPr>
              <w:t>In the programme from</w:t>
            </w:r>
          </w:p>
        </w:tc>
        <w:tc>
          <w:tcPr>
            <w:tcW w:type="dxa" w:w="1814"/>
            <w:shd w:fill="E5EEF0"/>
          </w:tcPr>
          <w:p>
            <w:pPr>
              <w:keepNext/>
              <w:spacing w:after="80" w:before="80"/>
            </w:pPr>
            <w:r>
              <w:rPr>
                <w:b/>
                <w:sz w:val="18"/>
              </w:rPr>
              <w:t>In the programme to</w:t>
            </w:r>
          </w:p>
        </w:tc>
      </w:tr>
      <w:tr>
        <w:trPr>
          <w:cantSplit/>
        </w:trPr>
        <w:tc>
          <w:tcPr>
            <w:tcW w:type="dxa" w:w="1531"/>
          </w:tcPr>
          <w:p>
            <w:pPr>
              <w:keepNext w:val="0"/>
              <w:spacing w:after="80" w:before="80"/>
            </w:pPr>
            <w:r>
              <w:rPr>
                <w:b w:val="0"/>
                <w:sz w:val="18"/>
              </w:rPr>
            </w:r>
            <w:sdt>
              <w:sdtPr>
                <w:id w:val="31"/>
                <w:tag w:val="fact:registration:31"/>
                <w:alias w:val="registration"/>
                <w:rPr>
                  <w:highlight w:val="yellow"/>
                </w:rPr>
                <w:placeholder>
                  <w:docPart w:val="AvioverseFact31"/>
                </w:placeholder>
                <w:showingPlcHdr/>
                <w:text/>
              </w:sdtPr>
              <w:sdtContent>
                <w:r>
                  <w:rPr>
                    <w:rStyle w:val="PlaceholderText"/>
                    <w:highlight w:val="yellow"/>
                  </w:rPr>
                  <w:t xml:space="preserve">[e.g. XX-EXA]</w:t>
                </w:r>
              </w:sdtContent>
            </w:sdt>
          </w:p>
        </w:tc>
        <w:tc>
          <w:tcPr>
            <w:tcW w:type="dxa" w:w="1417"/>
          </w:tcPr>
          <w:p>
            <w:pPr>
              <w:keepNext w:val="0"/>
              <w:spacing w:after="80" w:before="80"/>
            </w:pPr>
            <w:r>
              <w:rPr>
                <w:b w:val="0"/>
                <w:sz w:val="18"/>
              </w:rPr>
            </w:r>
            <w:sdt>
              <w:sdtPr>
                <w:id w:val="32"/>
                <w:tag w:val="fact:msn:32"/>
                <w:alias w:val="msn"/>
                <w:rPr>
                  <w:highlight w:val="yellow"/>
                </w:rPr>
                <w:placeholder>
                  <w:docPart w:val="AvioverseFact32"/>
                </w:placeholder>
                <w:showingPlcHdr/>
                <w:text/>
              </w:sdtPr>
              <w:sdtContent>
                <w:r>
                  <w:rPr>
                    <w:rStyle w:val="PlaceholderText"/>
                    <w:highlight w:val="yellow"/>
                  </w:rPr>
                  <w:t xml:space="preserve">[e.g. MSN-EXAMPLE-001]</w:t>
                </w:r>
              </w:sdtContent>
            </w:sdt>
          </w:p>
        </w:tc>
        <w:tc>
          <w:tcPr>
            <w:tcW w:type="dxa" w:w="1644"/>
          </w:tcPr>
          <w:p>
            <w:pPr>
              <w:keepNext w:val="0"/>
              <w:spacing w:after="80" w:before="80"/>
            </w:pPr>
            <w:r>
              <w:rPr>
                <w:b w:val="0"/>
                <w:sz w:val="18"/>
              </w:rPr>
            </w:r>
            <w:sdt>
              <w:sdtPr>
                <w:id w:val="33"/>
                <w:tag w:val="fact:aircraft_type:33"/>
                <w:alias w:val="aircraft_type"/>
                <w:rPr>
                  <w:highlight w:val="yellow"/>
                </w:rPr>
                <w:placeholder>
                  <w:docPart w:val="AvioverseFact33"/>
                </w:placeholder>
                <w:showingPlcHdr/>
                <w:text/>
              </w:sdtPr>
              <w:sdtContent>
                <w:r>
                  <w:rPr>
                    <w:rStyle w:val="PlaceholderText"/>
                    <w:highlight w:val="yellow"/>
                  </w:rPr>
                  <w:t xml:space="preserve">[e.g. Example Type 42]</w:t>
                </w:r>
              </w:sdtContent>
            </w:sdt>
          </w:p>
        </w:tc>
        <w:tc>
          <w:tcPr>
            <w:tcW w:type="dxa" w:w="1417"/>
          </w:tcPr>
          <w:p>
            <w:pPr>
              <w:keepNext w:val="0"/>
              <w:spacing w:after="80" w:before="80"/>
            </w:pPr>
            <w:r>
              <w:rPr>
                <w:b w:val="0"/>
                <w:sz w:val="18"/>
              </w:rPr>
            </w:r>
            <w:sdt>
              <w:sdtPr>
                <w:id w:val="34"/>
                <w:tag w:val="combo:variant:34"/>
                <w:alias w:val="variant"/>
                <w:rPr>
                  <w:highlight w:val="yellow"/>
                </w:rPr>
                <w:comboBox w:lastValue="None">
                  <w:listItem w:value="None" w:displayText="None"/>
                </w:comboBox>
              </w:sdtPr>
              <w:sdtContent>
                <w:r>
                  <w:rPr>
                    <w:highlight w:val="yellow"/>
                  </w:rPr>
                  <w:t xml:space="preserve">None</w:t>
                </w:r>
              </w:sdtContent>
            </w:sdt>
          </w:p>
        </w:tc>
        <w:tc>
          <w:tcPr>
            <w:tcW w:type="dxa" w:w="1814"/>
          </w:tcPr>
          <w:p>
            <w:pPr>
              <w:keepNext w:val="0"/>
              <w:spacing w:after="80" w:before="80"/>
            </w:pPr>
            <w:r>
              <w:rPr>
                <w:b w:val="0"/>
                <w:sz w:val="18"/>
              </w:rPr>
            </w:r>
            <w:sdt>
              <w:sdtPr>
                <w:id w:val="35"/>
                <w:tag w:val="fact:date:35"/>
                <w:alias w:val="date"/>
                <w:rPr>
                  <w:highlight w:val="yellow"/>
                </w:rPr>
                <w:placeholder>
                  <w:docPart w:val="AvioverseFact35"/>
                </w:placeholder>
                <w:showingPlcHdr/>
                <w:text/>
              </w:sdtPr>
              <w:sdtContent>
                <w:r>
                  <w:rPr>
                    <w:rStyle w:val="PlaceholderText"/>
                    <w:highlight w:val="yellow"/>
                  </w:rPr>
                  <w:t xml:space="preserve">[e.g. 2024-01-01]</w:t>
                </w:r>
              </w:sdtContent>
            </w:sdt>
          </w:p>
        </w:tc>
        <w:tc>
          <w:tcPr>
            <w:tcW w:type="dxa" w:w="1814"/>
          </w:tcPr>
          <w:p>
            <w:pPr>
              <w:keepNext w:val="0"/>
              <w:spacing w:after="80" w:before="80"/>
            </w:pPr>
            <w:r>
              <w:rPr>
                <w:b w:val="0"/>
                <w:sz w:val="18"/>
              </w:rPr>
            </w:r>
            <w:sdt>
              <w:sdtPr>
                <w:id w:val="36"/>
                <w:tag w:val="combo:date:36"/>
                <w:alias w:val="date"/>
                <w:rPr>
                  <w:highlight w:val="yellow"/>
                </w:rPr>
                <w:comboBox w:lastValue="Still in the programme">
                  <w:listItem w:value="Still in the programme" w:displayText="Still in the programme"/>
                </w:comboBox>
              </w:sdtPr>
              <w:sdtContent>
                <w:r>
                  <w:rPr>
                    <w:highlight w:val="yellow"/>
                  </w:rPr>
                  <w:t xml:space="preserve">Still in the programme</w:t>
                </w:r>
              </w:sdtContent>
            </w:sdt>
          </w:p>
        </w:tc>
      </w:tr>
    </w:tbl>
    <w:p>
      <w:r>
        <w:t xml:space="preserve">The </w:t>
      </w:r>
      <w:r>
        <w:t>reliability engineer</w:t>
      </w:r>
      <w:r>
        <w:t xml:space="preserve"> maintains the fleet table. Before each report we check registrations, configuration and entry/exit dates against aircraft records. A change is recorded when the aircraft joins or leaves, and checked against the operator notice.</w:t>
      </w:r>
    </w:p>
    <w:p>
      <w:r>
        <w:t>A month is included when it overlaps membership dates; dated events must fall within the actual dates. The report excludes records outside our fleet or its dates and lists them as data checks. For a partial month we obtain hours and cycles for the membership dates from daily utilisation records and reconcile them to the monthly total. The monthly calculation does not divide hours automatically at the membership date; unresolved differences remain visible data checks.</w:t>
      </w:r>
    </w:p>
    <w:p>
      <w:r>
        <w:t>We retain the source, calculation and any limit on interpretation for each partial-month adjustment with the monthly exposure record. The receiving engineer checks the result before use.</w:t>
      </w:r>
    </w:p>
    <w:p>
      <w:pPr>
        <w:pStyle w:val="Heading1"/>
      </w:pPr>
      <w:r>
        <w:t>5. Items controlled</w:t>
      </w:r>
      <w:r>
        <w:rPr>
          <w:color w:val="50636A"/>
          <w:sz w:val="18"/>
        </w:rPr>
        <w:br/>
        <w:t>Appendix I 6.5.2; 6.5.1.2</w:t>
        <w:t xml:space="preserve"> | AC 120-17B 3.1–3.2</w:t>
      </w:r>
    </w:p>
    <w:p>
      <w:r>
        <w:t>The Monitored ATA chapters setting defines the chapter display scope. The following table identifies the items, methods and any separate programmes. A separate programme remains linked to this programme through its findings and review process.</w:t>
      </w:r>
    </w:p>
    <w:tbl>
      <w:tblPr>
        <w:tblStyle w:val="TableGrid"/>
        <w:tblW w:type="auto" w:w="0"/>
        <w:tblLayout w:type="fixed"/>
        <w:tblLook w:firstColumn="1" w:firstRow="1" w:lastColumn="0" w:lastRow="0" w:noHBand="0" w:noVBand="1" w:val="04A0"/>
      </w:tblPr>
      <w:tblGrid>
        <w:gridCol w:w="2268"/>
        <w:gridCol w:w="3345"/>
        <w:gridCol w:w="4025"/>
      </w:tblGrid>
      <w:tr>
        <w:trPr>
          <w:cantSplit/>
          <w:tblHeader/>
        </w:trPr>
        <w:tc>
          <w:tcPr>
            <w:tcW w:type="dxa" w:w="2268"/>
            <w:shd w:fill="E5EEF0"/>
          </w:tcPr>
          <w:p>
            <w:pPr>
              <w:keepNext/>
              <w:spacing w:after="80" w:before="80"/>
            </w:pPr>
            <w:r>
              <w:rPr>
                <w:b/>
                <w:sz w:val="18"/>
              </w:rPr>
              <w:t>Item / ATA scope</w:t>
            </w:r>
          </w:p>
        </w:tc>
        <w:tc>
          <w:tcPr>
            <w:tcW w:type="dxa" w:w="3345"/>
            <w:shd w:fill="E5EEF0"/>
          </w:tcPr>
          <w:p>
            <w:pPr>
              <w:keepNext/>
              <w:spacing w:after="80" w:before="80"/>
            </w:pPr>
            <w:r>
              <w:rPr>
                <w:b/>
                <w:sz w:val="18"/>
              </w:rPr>
              <w:t>Method and data</w:t>
            </w:r>
          </w:p>
        </w:tc>
        <w:tc>
          <w:tcPr>
            <w:tcW w:type="dxa" w:w="4025"/>
            <w:shd w:fill="E5EEF0"/>
          </w:tcPr>
          <w:p>
            <w:pPr>
              <w:keepNext/>
              <w:spacing w:after="80" w:before="80"/>
            </w:pPr>
            <w:r>
              <w:rPr>
                <w:b/>
                <w:sz w:val="18"/>
              </w:rPr>
              <w:t>Separate programme / interface</w:t>
            </w:r>
          </w:p>
        </w:tc>
      </w:tr>
      <w:tr>
        <w:trPr>
          <w:cantSplit/>
        </w:trPr>
        <w:tc>
          <w:tcPr>
            <w:tcW w:type="dxa" w:w="2268"/>
          </w:tcPr>
          <w:p>
            <w:pPr>
              <w:keepNext w:val="0"/>
              <w:spacing w:after="80" w:before="80"/>
            </w:pPr>
            <w:r>
              <w:rPr>
                <w:b w:val="0"/>
                <w:sz w:val="18"/>
              </w:rPr>
              <w:t>Aircraft systems; ATA chapters selected in section 8</w:t>
            </w:r>
          </w:p>
        </w:tc>
        <w:tc>
          <w:tcPr>
            <w:tcW w:type="dxa" w:w="3345"/>
          </w:tcPr>
          <w:p>
            <w:pPr>
              <w:keepNext w:val="0"/>
              <w:spacing w:after="80" w:before="80"/>
            </w:pPr>
            <w:sdt>
              <w:sdtPr>
                <w:id w:val="37"/>
                <w:tag w:val="tick:choice:37"/>
                <w:alias w:val="Pilot and maintenance reports"/>
                <w:rPr>
                  <w:rFonts w:ascii="MS Gothic" w:hAnsi="MS Gothic" w:eastAsia="MS Gothic" w:cs="MS Gothic"/>
                  <w:highlight w:val="yellow"/>
                </w:rPr>
                <w14:checkbox>
                  <w14:checked w14:val="1"/>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Pilot and maintenance reports</w:t>
            </w:r>
            <w:r>
              <w:rPr>
                <w:b w:val="0"/>
                <w:sz w:val="18"/>
              </w:rPr>
              <w:t xml:space="preserve">; </w:t>
            </w:r>
            <w:sdt>
              <w:sdtPr>
                <w:id w:val="38"/>
                <w:tag w:val="tick:choice:38"/>
                <w:alias w:val="Technical delays and cancellations"/>
                <w:rPr>
                  <w:rFonts w:ascii="MS Gothic" w:hAnsi="MS Gothic" w:eastAsia="MS Gothic" w:cs="MS Gothic"/>
                  <w:highlight w:val="yellow"/>
                </w:rPr>
                <w14:checkbox>
                  <w14:checked w14:val="1"/>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Technical delays and cancellations</w:t>
            </w:r>
          </w:p>
        </w:tc>
        <w:tc>
          <w:tcPr>
            <w:tcW w:type="dxa" w:w="4025"/>
          </w:tcPr>
          <w:p>
            <w:pPr>
              <w:keepNext w:val="0"/>
              <w:spacing w:after="80" w:before="80"/>
            </w:pPr>
            <w:r>
              <w:rPr>
                <w:b w:val="0"/>
                <w:sz w:val="18"/>
              </w:rPr>
              <w:t xml:space="preserve">We review chapter rates, trends and events; separate reference, if used: </w:t>
            </w:r>
            <w:sdt>
              <w:sdtPr>
                <w:id w:val="39"/>
                <w:tag w:val="combo:reference:39"/>
                <w:alias w:val="reference"/>
                <w:rPr>
                  <w:highlight w:val="yellow"/>
                </w:rPr>
                <w:comboBox w:lastValue="Not used">
                  <w:listItem w:value="Not used" w:displayText="Not used"/>
                </w:comboBox>
              </w:sdtPr>
              <w:sdtContent>
                <w:r>
                  <w:rPr>
                    <w:highlight w:val="yellow"/>
                  </w:rPr>
                  <w:t xml:space="preserve">Not used</w:t>
                </w:r>
              </w:sdtContent>
            </w:sdt>
          </w:p>
        </w:tc>
      </w:tr>
      <w:tr>
        <w:trPr>
          <w:cantSplit/>
        </w:trPr>
        <w:tc>
          <w:tcPr>
            <w:tcW w:type="dxa" w:w="2268"/>
          </w:tcPr>
          <w:p>
            <w:pPr>
              <w:keepNext w:val="0"/>
              <w:spacing w:after="80" w:before="80"/>
            </w:pPr>
            <w:r>
              <w:rPr>
                <w:b w:val="0"/>
                <w:sz w:val="18"/>
              </w:rPr>
              <w:t>Structure</w:t>
            </w:r>
          </w:p>
        </w:tc>
        <w:tc>
          <w:tcPr>
            <w:tcW w:type="dxa" w:w="3345"/>
          </w:tcPr>
          <w:p>
            <w:pPr>
              <w:keepNext w:val="0"/>
              <w:spacing w:after="80" w:before="80"/>
            </w:pPr>
            <w:sdt>
              <w:sdtPr>
                <w:id w:val="40"/>
                <w:tag w:val="tick:choice:40"/>
                <w:alias w:val="Structural findings and required sampling"/>
                <w:rPr>
                  <w:rFonts w:ascii="MS Gothic" w:hAnsi="MS Gothic" w:eastAsia="MS Gothic" w:cs="MS Gothic"/>
                  <w:highlight w:val="yellow"/>
                </w:rPr>
                <w14:checkbox>
                  <w14:checked w14:val="1"/>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Structural findings and required sampling</w:t>
            </w:r>
          </w:p>
        </w:tc>
        <w:tc>
          <w:tcPr>
            <w:tcW w:type="dxa" w:w="4025"/>
          </w:tcPr>
          <w:p>
            <w:pPr>
              <w:keepNext w:val="0"/>
              <w:spacing w:after="80" w:before="80"/>
            </w:pPr>
            <w:r>
              <w:rPr>
                <w:b w:val="0"/>
                <w:sz w:val="18"/>
              </w:rPr>
              <w:t xml:space="preserve">We review structural work-pack findings and the manufacturer structural programme at each report; source: </w:t>
            </w:r>
            <w:sdt>
              <w:sdtPr>
                <w:id w:val="41"/>
                <w:tag w:val="fact:reference:41"/>
                <w:alias w:val="reference"/>
                <w:rPr>
                  <w:highlight w:val="yellow"/>
                </w:rPr>
                <w:placeholder>
                  <w:docPart w:val="AvioverseFact41"/>
                </w:placeholder>
                <w:showingPlcHdr/>
                <w:text/>
              </w:sdtPr>
              <w:sdtContent>
                <w:r>
                  <w:rPr>
                    <w:rStyle w:val="PlaceholderText"/>
                    <w:highlight w:val="yellow"/>
                  </w:rPr>
                  <w:t xml:space="preserve">[e.g. STRUCT-001]</w:t>
                </w:r>
              </w:sdtContent>
            </w:sdt>
          </w:p>
        </w:tc>
      </w:tr>
      <w:tr>
        <w:trPr>
          <w:cantSplit/>
        </w:trPr>
        <w:tc>
          <w:tcPr>
            <w:tcW w:type="dxa" w:w="2268"/>
          </w:tcPr>
          <w:p>
            <w:pPr>
              <w:keepNext w:val="0"/>
              <w:spacing w:after="80" w:before="80"/>
            </w:pPr>
            <w:r>
              <w:rPr>
                <w:b w:val="0"/>
                <w:sz w:val="18"/>
              </w:rPr>
              <w:t>Engines</w:t>
            </w:r>
          </w:p>
        </w:tc>
        <w:tc>
          <w:tcPr>
            <w:tcW w:type="dxa" w:w="3345"/>
          </w:tcPr>
          <w:p>
            <w:pPr>
              <w:keepNext w:val="0"/>
              <w:spacing w:after="80" w:before="80"/>
            </w:pPr>
            <w:sdt>
              <w:sdtPr>
                <w:id w:val="42"/>
                <w:tag w:val="tick:choice:42"/>
                <w:alias w:val="Engine events, condition trends and removals"/>
                <w:rPr>
                  <w:rFonts w:ascii="MS Gothic" w:hAnsi="MS Gothic" w:eastAsia="MS Gothic" w:cs="MS Gothic"/>
                  <w:highlight w:val="yellow"/>
                </w:rPr>
                <w14:checkbox>
                  <w14:checked w14:val="1"/>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Engine events, condition trends and removals</w:t>
            </w:r>
          </w:p>
        </w:tc>
        <w:tc>
          <w:tcPr>
            <w:tcW w:type="dxa" w:w="4025"/>
          </w:tcPr>
          <w:p>
            <w:pPr>
              <w:keepNext w:val="0"/>
              <w:spacing w:after="80" w:before="80"/>
            </w:pPr>
            <w:r>
              <w:rPr>
                <w:b w:val="0"/>
                <w:sz w:val="18"/>
              </w:rPr>
              <w:t xml:space="preserve">We review the manufacturer or separate engine programme findings at each report; source: </w:t>
            </w:r>
            <w:sdt>
              <w:sdtPr>
                <w:id w:val="43"/>
                <w:tag w:val="fact:reference:43"/>
                <w:alias w:val="reference"/>
                <w:rPr>
                  <w:highlight w:val="yellow"/>
                </w:rPr>
                <w:placeholder>
                  <w:docPart w:val="AvioverseFact43"/>
                </w:placeholder>
                <w:showingPlcHdr/>
                <w:text/>
              </w:sdtPr>
              <w:sdtContent>
                <w:r>
                  <w:rPr>
                    <w:rStyle w:val="PlaceholderText"/>
                    <w:highlight w:val="yellow"/>
                  </w:rPr>
                  <w:t xml:space="preserve">[e.g. ENG-001]</w:t>
                </w:r>
              </w:sdtContent>
            </w:sdt>
          </w:p>
        </w:tc>
      </w:tr>
      <w:tr>
        <w:trPr>
          <w:cantSplit/>
        </w:trPr>
        <w:tc>
          <w:tcPr>
            <w:tcW w:type="dxa" w:w="2268"/>
          </w:tcPr>
          <w:p>
            <w:pPr>
              <w:keepNext w:val="0"/>
              <w:spacing w:after="80" w:before="80"/>
            </w:pPr>
            <w:r>
              <w:rPr>
                <w:b w:val="0"/>
                <w:sz w:val="18"/>
              </w:rPr>
              <w:t>APU / propellers, if fitted</w:t>
            </w:r>
          </w:p>
        </w:tc>
        <w:tc>
          <w:tcPr>
            <w:tcW w:type="dxa" w:w="3345"/>
          </w:tcPr>
          <w:p>
            <w:pPr>
              <w:keepNext w:val="0"/>
              <w:spacing w:after="80" w:before="80"/>
            </w:pPr>
            <w:sdt>
              <w:sdtPr>
                <w:id w:val="44"/>
                <w:tag w:val="tick:choice:44"/>
                <w:alias w:val="APU"/>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APU</w:t>
            </w:r>
            <w:r>
              <w:rPr>
                <w:b w:val="0"/>
                <w:sz w:val="18"/>
              </w:rPr>
              <w:t xml:space="preserve">; </w:t>
            </w:r>
            <w:sdt>
              <w:sdtPr>
                <w:id w:val="45"/>
                <w:tag w:val="tick:choice:45"/>
                <w:alias w:val="Propellers"/>
                <w:rPr>
                  <w:rFonts w:ascii="MS Gothic" w:hAnsi="MS Gothic" w:eastAsia="MS Gothic" w:cs="MS Gothic"/>
                  <w:highlight w:val="yellow"/>
                </w:rPr>
                <w14:checkbox>
                  <w14:checked w14:val="0"/>
                  <w14:checkedState w14:val="2612" w14:font="MS Gothic"/>
                  <w14:uncheckedState w14:val="2610" w14:font="MS Gothic"/>
                </w14:checkbox>
              </w:sdtPr>
              <w:sdtContent>
                <w:r>
                  <w:rPr>
                    <w:rFonts w:ascii="MS Gothic" w:hAnsi="MS Gothic" w:eastAsia="MS Gothic" w:cs="MS Gothic"/>
                    <w:highlight w:val="yellow"/>
                  </w:rPr>
                  <w:t xml:space="preserve">☐</w:t>
                </w:r>
              </w:sdtContent>
            </w:sdt>
            <w:r>
              <w:rPr>
                <w:b w:val="0"/>
                <w:sz w:val="18"/>
              </w:rPr>
              <w:t xml:space="preserve"> Propellers</w:t>
            </w:r>
          </w:p>
        </w:tc>
        <w:tc>
          <w:tcPr>
            <w:tcW w:type="dxa" w:w="4025"/>
          </w:tcPr>
          <w:p>
            <w:pPr>
              <w:keepNext w:val="0"/>
              <w:spacing w:after="80" w:before="80"/>
            </w:pPr>
            <w:r>
              <w:rPr>
                <w:b w:val="0"/>
                <w:sz w:val="18"/>
              </w:rPr>
              <w:t xml:space="preserve">For fitted equipment we review events, condition and removals with the same maintenance interface; separate source, if used: </w:t>
            </w:r>
            <w:sdt>
              <w:sdtPr>
                <w:id w:val="46"/>
                <w:tag w:val="combo:reference:46"/>
                <w:alias w:val="reference"/>
                <w:rPr>
                  <w:highlight w:val="yellow"/>
                </w:rPr>
                <w:comboBox w:lastValue="Not used">
                  <w:listItem w:value="Not used" w:displayText="Not used"/>
                </w:comboBox>
              </w:sdtPr>
              <w:sdtContent>
                <w:r>
                  <w:rPr>
                    <w:highlight w:val="yellow"/>
                  </w:rPr>
                  <w:t xml:space="preserve">Not used</w:t>
                </w:r>
              </w:sdtContent>
            </w:sdt>
          </w:p>
        </w:tc>
      </w:tr>
    </w:tbl>
    <w:p>
      <w:r>
        <w:t xml:space="preserve">The </w:t>
      </w:r>
      <w:r>
        <w:t>reliability engineer</w:t>
      </w:r>
      <w:r>
        <w:t xml:space="preserve"> brings findings from every selected source to the reliability group. The chapter list in section 8 covers our controlled systems, including nil returns. Separate monitoring does not remove our responsibility to review its findings.</w:t>
      </w:r>
    </w:p>
    <w:p>
      <w:pPr>
        <w:pStyle w:val="Heading1"/>
      </w:pPr>
      <w:r>
        <w:t>6. Terms and definitions</w:t>
      </w:r>
      <w:r>
        <w:rPr>
          <w:color w:val="50636A"/>
          <w:sz w:val="18"/>
        </w:rPr>
        <w:br/>
        <w:t>Appendix I 6.5.3</w:t>
        <w:t xml:space="preserve"> | AC 120-17B 1.6; 2.1.2(1); 4.2.1; 5.1.1; 5.2.3</w:t>
      </w:r>
    </w:p>
    <w:p>
      <w:r>
        <w:t>These are working definitions for this programme. They do not change a regulatory definition, operating limitation or reporting requirement. The numerical thresholds are selected in section 8.</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Term</w:t>
            </w:r>
          </w:p>
        </w:tc>
        <w:tc>
          <w:tcPr>
            <w:tcW w:type="dxa" w:w="7200"/>
            <w:shd w:fill="E5EEF0"/>
          </w:tcPr>
          <w:p>
            <w:pPr>
              <w:keepNext/>
              <w:spacing w:after="80" w:before="80"/>
            </w:pPr>
            <w:r>
              <w:rPr>
                <w:b/>
                <w:sz w:val="18"/>
              </w:rPr>
              <w:t>Meaning in this programme</w:t>
            </w:r>
          </w:p>
        </w:tc>
      </w:tr>
      <w:tr>
        <w:trPr>
          <w:cantSplit/>
        </w:trPr>
        <w:tc>
          <w:tcPr>
            <w:tcW w:type="dxa" w:w="2438"/>
          </w:tcPr>
          <w:p>
            <w:pPr>
              <w:keepNext w:val="0"/>
              <w:spacing w:after="80" w:before="80"/>
            </w:pPr>
            <w:r>
              <w:rPr>
                <w:b w:val="0"/>
                <w:sz w:val="18"/>
              </w:rPr>
              <w:t>CAMO / CAME / AMP</w:t>
            </w:r>
          </w:p>
        </w:tc>
        <w:tc>
          <w:tcPr>
            <w:tcW w:type="dxa" w:w="7200"/>
          </w:tcPr>
          <w:p>
            <w:pPr>
              <w:keepNext w:val="0"/>
              <w:spacing w:after="80" w:before="80"/>
            </w:pPr>
            <w:r>
              <w:rPr>
                <w:b w:val="0"/>
                <w:sz w:val="18"/>
              </w:rPr>
              <w:t>Continuing airworthiness management organisation / its exposition / aircraft maintenance programme. In Appendix I, CAMO also covers CAO where applicable.</w:t>
            </w:r>
          </w:p>
        </w:tc>
      </w:tr>
      <w:tr>
        <w:trPr>
          <w:cantSplit/>
        </w:trPr>
        <w:tc>
          <w:tcPr>
            <w:tcW w:type="dxa" w:w="2438"/>
          </w:tcPr>
          <w:p>
            <w:pPr>
              <w:keepNext w:val="0"/>
              <w:spacing w:after="80" w:before="80"/>
            </w:pPr>
            <w:r>
              <w:rPr>
                <w:b w:val="0"/>
                <w:sz w:val="18"/>
              </w:rPr>
              <w:t>ATA chapter / MSN / APU</w:t>
            </w:r>
          </w:p>
        </w:tc>
        <w:tc>
          <w:tcPr>
            <w:tcW w:type="dxa" w:w="7200"/>
          </w:tcPr>
          <w:p>
            <w:pPr>
              <w:keepNext w:val="0"/>
              <w:spacing w:after="80" w:before="80"/>
            </w:pPr>
            <w:r>
              <w:rPr>
                <w:b w:val="0"/>
                <w:sz w:val="18"/>
              </w:rPr>
              <w:t>Aircraft system chapter / manufacturer serial number / auxiliary power unit.</w:t>
            </w:r>
          </w:p>
        </w:tc>
      </w:tr>
      <w:tr>
        <w:trPr>
          <w:cantSplit/>
        </w:trPr>
        <w:tc>
          <w:tcPr>
            <w:tcW w:type="dxa" w:w="2438"/>
          </w:tcPr>
          <w:p>
            <w:pPr>
              <w:keepNext w:val="0"/>
              <w:spacing w:after="80" w:before="80"/>
            </w:pPr>
            <w:r>
              <w:rPr>
                <w:b w:val="0"/>
                <w:sz w:val="18"/>
              </w:rPr>
              <w:t>MSG-3 / MRB / MPD</w:t>
            </w:r>
          </w:p>
        </w:tc>
        <w:tc>
          <w:tcPr>
            <w:tcW w:type="dxa" w:w="7200"/>
          </w:tcPr>
          <w:p>
            <w:pPr>
              <w:keepNext w:val="0"/>
              <w:spacing w:after="80" w:before="80"/>
            </w:pPr>
            <w:r>
              <w:rPr>
                <w:b w:val="0"/>
                <w:sz w:val="18"/>
              </w:rPr>
              <w:t>Maintenance Steering Group 3 task-development logic / Maintenance Review Board / maintenance planning document.</w:t>
            </w:r>
          </w:p>
        </w:tc>
      </w:tr>
      <w:tr>
        <w:trPr>
          <w:cantSplit/>
        </w:trPr>
        <w:tc>
          <w:tcPr>
            <w:tcW w:type="dxa" w:w="2438"/>
          </w:tcPr>
          <w:p>
            <w:pPr>
              <w:keepNext w:val="0"/>
              <w:spacing w:after="80" w:before="80"/>
            </w:pPr>
            <w:r>
              <w:rPr>
                <w:b w:val="0"/>
                <w:sz w:val="18"/>
              </w:rPr>
              <w:t>Flight hour / flight cycle</w:t>
            </w:r>
          </w:p>
        </w:tc>
        <w:tc>
          <w:tcPr>
            <w:tcW w:type="dxa" w:w="7200"/>
          </w:tcPr>
          <w:p>
            <w:pPr>
              <w:keepNext w:val="0"/>
              <w:spacing w:after="80" w:before="80"/>
            </w:pPr>
            <w:r>
              <w:rPr>
                <w:b w:val="0"/>
                <w:sz w:val="18"/>
              </w:rPr>
              <w:t>The flight-time and cycle measures defined in the source records, with the same convention for the event count and its exposure.</w:t>
            </w:r>
          </w:p>
        </w:tc>
      </w:tr>
      <w:tr>
        <w:trPr>
          <w:cantSplit/>
        </w:trPr>
        <w:tc>
          <w:tcPr>
            <w:tcW w:type="dxa" w:w="2438"/>
          </w:tcPr>
          <w:p>
            <w:pPr>
              <w:keepNext w:val="0"/>
              <w:spacing w:after="80" w:before="80"/>
            </w:pPr>
            <w:r>
              <w:rPr>
                <w:b w:val="0"/>
                <w:sz w:val="18"/>
              </w:rPr>
              <w:t>Exposure</w:t>
            </w:r>
          </w:p>
        </w:tc>
        <w:tc>
          <w:tcPr>
            <w:tcW w:type="dxa" w:w="7200"/>
          </w:tcPr>
          <w:p>
            <w:pPr>
              <w:keepNext w:val="0"/>
              <w:spacing w:after="80" w:before="80"/>
            </w:pPr>
            <w:r>
              <w:rPr>
                <w:b w:val="0"/>
                <w:sz w:val="18"/>
              </w:rPr>
              <w:t>The use represented by the data, such as flight hours or cycles. A rate is the relevant event count divided by the matching exposure.</w:t>
            </w:r>
          </w:p>
        </w:tc>
      </w:tr>
      <w:tr>
        <w:trPr>
          <w:cantSplit/>
        </w:trPr>
        <w:tc>
          <w:tcPr>
            <w:tcW w:type="dxa" w:w="2438"/>
          </w:tcPr>
          <w:p>
            <w:pPr>
              <w:keepNext w:val="0"/>
              <w:spacing w:after="80" w:before="80"/>
            </w:pPr>
            <w:r>
              <w:rPr>
                <w:b w:val="0"/>
                <w:sz w:val="18"/>
              </w:rPr>
              <w:t>Standard deviation / n</w:t>
            </w:r>
          </w:p>
        </w:tc>
        <w:tc>
          <w:tcPr>
            <w:tcW w:type="dxa" w:w="7200"/>
          </w:tcPr>
          <w:p>
            <w:pPr>
              <w:keepNext w:val="0"/>
              <w:spacing w:after="80" w:before="80"/>
            </w:pPr>
            <w:r>
              <w:rPr>
                <w:b w:val="0"/>
                <w:sz w:val="18"/>
              </w:rPr>
              <w:t>A measure of how much the baseline observations differ from their mean / the number of complete observations. Section 8 selects the sample or population calculation.</w:t>
            </w:r>
          </w:p>
        </w:tc>
      </w:tr>
      <w:tr>
        <w:trPr>
          <w:cantSplit/>
        </w:trPr>
        <w:tc>
          <w:tcPr>
            <w:tcW w:type="dxa" w:w="2438"/>
          </w:tcPr>
          <w:p>
            <w:pPr>
              <w:keepNext w:val="0"/>
              <w:spacing w:after="80" w:before="80"/>
            </w:pPr>
            <w:r>
              <w:rPr>
                <w:b w:val="0"/>
                <w:sz w:val="18"/>
              </w:rPr>
              <w:t>PIREP</w:t>
            </w:r>
          </w:p>
        </w:tc>
        <w:tc>
          <w:tcPr>
            <w:tcW w:type="dxa" w:w="7200"/>
          </w:tcPr>
          <w:p>
            <w:pPr>
              <w:keepNext w:val="0"/>
              <w:spacing w:after="80" w:before="80"/>
            </w:pPr>
            <w:r>
              <w:rPr>
                <w:b w:val="0"/>
                <w:sz w:val="18"/>
              </w:rPr>
              <w:t>A pilot report of a technical defect or irregularity, as used in this programme.</w:t>
            </w:r>
          </w:p>
        </w:tc>
      </w:tr>
      <w:tr>
        <w:trPr>
          <w:cantSplit/>
        </w:trPr>
        <w:tc>
          <w:tcPr>
            <w:tcW w:type="dxa" w:w="2438"/>
          </w:tcPr>
          <w:p>
            <w:pPr>
              <w:keepNext w:val="0"/>
              <w:spacing w:after="80" w:before="80"/>
            </w:pPr>
            <w:r>
              <w:rPr>
                <w:b w:val="0"/>
                <w:sz w:val="18"/>
              </w:rPr>
              <w:t>MAREP</w:t>
            </w:r>
          </w:p>
        </w:tc>
        <w:tc>
          <w:tcPr>
            <w:tcW w:type="dxa" w:w="7200"/>
          </w:tcPr>
          <w:p>
            <w:pPr>
              <w:keepNext w:val="0"/>
              <w:spacing w:after="80" w:before="80"/>
            </w:pPr>
            <w:r>
              <w:rPr>
                <w:b w:val="0"/>
                <w:sz w:val="18"/>
              </w:rPr>
              <w:t>A maintenance report of a technical defect or irregularity, as used in this programme.</w:t>
            </w:r>
          </w:p>
        </w:tc>
      </w:tr>
      <w:tr>
        <w:trPr>
          <w:cantSplit/>
        </w:trPr>
        <w:tc>
          <w:tcPr>
            <w:tcW w:type="dxa" w:w="2438"/>
          </w:tcPr>
          <w:p>
            <w:pPr>
              <w:keepNext w:val="0"/>
              <w:spacing w:after="80" w:before="80"/>
            </w:pPr>
            <w:r>
              <w:rPr>
                <w:b w:val="0"/>
                <w:sz w:val="18"/>
              </w:rPr>
              <w:t>Unscheduled removal</w:t>
            </w:r>
          </w:p>
        </w:tc>
        <w:tc>
          <w:tcPr>
            <w:tcW w:type="dxa" w:w="7200"/>
          </w:tcPr>
          <w:p>
            <w:pPr>
              <w:keepNext w:val="0"/>
              <w:spacing w:after="80" w:before="80"/>
            </w:pPr>
            <w:r>
              <w:rPr>
                <w:b w:val="0"/>
                <w:sz w:val="18"/>
              </w:rPr>
              <w:t>Removal of a component outside its scheduled removal task, for investigation or correction of a reported condition.</w:t>
            </w:r>
          </w:p>
        </w:tc>
      </w:tr>
      <w:tr>
        <w:trPr>
          <w:cantSplit/>
        </w:trPr>
        <w:tc>
          <w:tcPr>
            <w:tcW w:type="dxa" w:w="2438"/>
          </w:tcPr>
          <w:p>
            <w:pPr>
              <w:keepNext w:val="0"/>
              <w:spacing w:after="80" w:before="80"/>
            </w:pPr>
            <w:r>
              <w:rPr>
                <w:b w:val="0"/>
                <w:sz w:val="18"/>
              </w:rPr>
              <w:t>Confirmed failure</w:t>
            </w:r>
          </w:p>
        </w:tc>
        <w:tc>
          <w:tcPr>
            <w:tcW w:type="dxa" w:w="7200"/>
          </w:tcPr>
          <w:p>
            <w:pPr>
              <w:keepNext w:val="0"/>
              <w:spacing w:after="80" w:before="80"/>
            </w:pPr>
            <w:r>
              <w:rPr>
                <w:b w:val="0"/>
                <w:sz w:val="18"/>
              </w:rPr>
              <w:t>A reported failure supported by the inspection or test findings. A removal alone does not confirm failure.</w:t>
            </w:r>
          </w:p>
        </w:tc>
      </w:tr>
      <w:tr>
        <w:trPr>
          <w:cantSplit/>
        </w:trPr>
        <w:tc>
          <w:tcPr>
            <w:tcW w:type="dxa" w:w="2438"/>
          </w:tcPr>
          <w:p>
            <w:pPr>
              <w:keepNext w:val="0"/>
              <w:spacing w:after="80" w:before="80"/>
            </w:pPr>
            <w:r>
              <w:rPr>
                <w:b w:val="0"/>
                <w:sz w:val="18"/>
              </w:rPr>
              <w:t>No fault found (NFF)</w:t>
            </w:r>
          </w:p>
        </w:tc>
        <w:tc>
          <w:tcPr>
            <w:tcW w:type="dxa" w:w="7200"/>
          </w:tcPr>
          <w:p>
            <w:pPr>
              <w:keepNext w:val="0"/>
              <w:spacing w:after="80" w:before="80"/>
            </w:pPr>
            <w:r>
              <w:rPr>
                <w:b w:val="0"/>
                <w:sz w:val="18"/>
              </w:rPr>
              <w:t>A reported fault that cannot be reproduced during the subsequent test. This does not prove that the original report was incorrect.</w:t>
            </w:r>
          </w:p>
        </w:tc>
      </w:tr>
      <w:tr>
        <w:trPr>
          <w:cantSplit/>
        </w:trPr>
        <w:tc>
          <w:tcPr>
            <w:tcW w:type="dxa" w:w="2438"/>
          </w:tcPr>
          <w:p>
            <w:pPr>
              <w:keepNext w:val="0"/>
              <w:spacing w:after="80" w:before="80"/>
            </w:pPr>
            <w:r>
              <w:rPr>
                <w:b w:val="0"/>
                <w:sz w:val="18"/>
              </w:rPr>
              <w:t>Rogue unit</w:t>
            </w:r>
          </w:p>
        </w:tc>
        <w:tc>
          <w:tcPr>
            <w:tcW w:type="dxa" w:w="7200"/>
          </w:tcPr>
          <w:p>
            <w:pPr>
              <w:keepNext w:val="0"/>
              <w:spacing w:after="80" w:before="80"/>
            </w:pPr>
            <w:r>
              <w:rPr>
                <w:b w:val="0"/>
                <w:sz w:val="18"/>
              </w:rPr>
              <w:t>A serial-numbered component with a history of the same system fault. The removal threshold selects suspected units for review; it does not establish the cause. AC 120-17B 5.1.1(3).</w:t>
            </w:r>
          </w:p>
        </w:tc>
      </w:tr>
      <w:tr>
        <w:trPr>
          <w:cantSplit/>
        </w:trPr>
        <w:tc>
          <w:tcPr>
            <w:tcW w:type="dxa" w:w="2438"/>
          </w:tcPr>
          <w:p>
            <w:pPr>
              <w:keepNext w:val="0"/>
              <w:spacing w:after="80" w:before="80"/>
            </w:pPr>
            <w:r>
              <w:rPr>
                <w:b w:val="0"/>
                <w:sz w:val="18"/>
              </w:rPr>
              <w:t>Chronic unit</w:t>
            </w:r>
          </w:p>
        </w:tc>
        <w:tc>
          <w:tcPr>
            <w:tcW w:type="dxa" w:w="7200"/>
          </w:tcPr>
          <w:p>
            <w:pPr>
              <w:keepNext w:val="0"/>
              <w:spacing w:after="80" w:before="80"/>
            </w:pPr>
            <w:r>
              <w:rPr>
                <w:b w:val="0"/>
                <w:sz w:val="18"/>
              </w:rPr>
              <w:t>A serial-numbered component with different recurring faults and repeated unscheduled removals. This differs from a rogue unit with the same recurring fault. AC 120-17B 5.1.1(3).</w:t>
            </w:r>
          </w:p>
        </w:tc>
      </w:tr>
      <w:tr>
        <w:trPr>
          <w:cantSplit/>
        </w:trPr>
        <w:tc>
          <w:tcPr>
            <w:tcW w:type="dxa" w:w="2438"/>
          </w:tcPr>
          <w:p>
            <w:pPr>
              <w:keepNext w:val="0"/>
              <w:spacing w:after="80" w:before="80"/>
            </w:pPr>
            <w:r>
              <w:rPr>
                <w:b w:val="0"/>
                <w:sz w:val="18"/>
              </w:rPr>
              <w:t>Chronic aircraft</w:t>
            </w:r>
          </w:p>
        </w:tc>
        <w:tc>
          <w:tcPr>
            <w:tcW w:type="dxa" w:w="7200"/>
          </w:tcPr>
          <w:p>
            <w:pPr>
              <w:keepNext w:val="0"/>
              <w:spacing w:after="80" w:before="80"/>
            </w:pPr>
            <w:r>
              <w:rPr>
                <w:b w:val="0"/>
                <w:sz w:val="18"/>
              </w:rPr>
              <w:t>An aircraft with repeated unscheduled defects in the same system or sub-system within the programme review period. AC 120-17B 5.1.1(3).</w:t>
            </w:r>
          </w:p>
        </w:tc>
      </w:tr>
      <w:tr>
        <w:trPr>
          <w:cantSplit/>
        </w:trPr>
        <w:tc>
          <w:tcPr>
            <w:tcW w:type="dxa" w:w="2438"/>
          </w:tcPr>
          <w:p>
            <w:pPr>
              <w:keepNext w:val="0"/>
              <w:spacing w:after="80" w:before="80"/>
            </w:pPr>
            <w:r>
              <w:rPr>
                <w:b w:val="0"/>
                <w:sz w:val="18"/>
              </w:rPr>
              <w:t>Technical delay</w:t>
            </w:r>
          </w:p>
        </w:tc>
        <w:tc>
          <w:tcPr>
            <w:tcW w:type="dxa" w:w="7200"/>
          </w:tcPr>
          <w:p>
            <w:pPr>
              <w:keepNext w:val="0"/>
              <w:spacing w:after="80" w:before="80"/>
            </w:pPr>
            <w:r>
              <w:rPr>
                <w:b w:val="0"/>
                <w:sz w:val="18"/>
              </w:rPr>
              <w:t>A departure delay attributed to a technical cause that reaches the duration set in section 8.</w:t>
            </w:r>
          </w:p>
        </w:tc>
      </w:tr>
      <w:tr>
        <w:trPr>
          <w:cantSplit/>
        </w:trPr>
        <w:tc>
          <w:tcPr>
            <w:tcW w:type="dxa" w:w="2438"/>
          </w:tcPr>
          <w:p>
            <w:pPr>
              <w:keepNext w:val="0"/>
              <w:spacing w:after="80" w:before="80"/>
            </w:pPr>
            <w:r>
              <w:rPr>
                <w:b w:val="0"/>
                <w:sz w:val="18"/>
              </w:rPr>
              <w:t>Cancellation</w:t>
            </w:r>
          </w:p>
        </w:tc>
        <w:tc>
          <w:tcPr>
            <w:tcW w:type="dxa" w:w="7200"/>
          </w:tcPr>
          <w:p>
            <w:pPr>
              <w:keepNext w:val="0"/>
              <w:spacing w:after="80" w:before="80"/>
            </w:pPr>
            <w:r>
              <w:rPr>
                <w:b w:val="0"/>
                <w:sz w:val="18"/>
              </w:rPr>
              <w:t>A planned flight not operated because of a technical cause, for the purposes of this programme.</w:t>
            </w:r>
          </w:p>
        </w:tc>
      </w:tr>
      <w:tr>
        <w:trPr>
          <w:cantSplit/>
        </w:trPr>
        <w:tc>
          <w:tcPr>
            <w:tcW w:type="dxa" w:w="2438"/>
          </w:tcPr>
          <w:p>
            <w:pPr>
              <w:keepNext w:val="0"/>
              <w:spacing w:after="80" w:before="80"/>
            </w:pPr>
            <w:r>
              <w:rPr>
                <w:b w:val="0"/>
                <w:sz w:val="18"/>
              </w:rPr>
              <w:t>Diversion</w:t>
            </w:r>
          </w:p>
        </w:tc>
        <w:tc>
          <w:tcPr>
            <w:tcW w:type="dxa" w:w="7200"/>
          </w:tcPr>
          <w:p>
            <w:pPr>
              <w:keepNext w:val="0"/>
              <w:spacing w:after="80" w:before="80"/>
            </w:pPr>
            <w:r>
              <w:rPr>
                <w:b w:val="0"/>
                <w:sz w:val="18"/>
              </w:rPr>
              <w:t>A flight that lands at a destination other than the intended destination because of a technical cause.</w:t>
            </w:r>
          </w:p>
        </w:tc>
      </w:tr>
      <w:tr>
        <w:trPr>
          <w:cantSplit/>
        </w:trPr>
        <w:tc>
          <w:tcPr>
            <w:tcW w:type="dxa" w:w="2438"/>
          </w:tcPr>
          <w:p>
            <w:pPr>
              <w:keepNext w:val="0"/>
              <w:spacing w:after="80" w:before="80"/>
            </w:pPr>
            <w:r>
              <w:rPr>
                <w:b w:val="0"/>
                <w:sz w:val="18"/>
              </w:rPr>
              <w:t>Turn-back</w:t>
            </w:r>
          </w:p>
        </w:tc>
        <w:tc>
          <w:tcPr>
            <w:tcW w:type="dxa" w:w="7200"/>
          </w:tcPr>
          <w:p>
            <w:pPr>
              <w:keepNext w:val="0"/>
              <w:spacing w:after="80" w:before="80"/>
            </w:pPr>
            <w:r>
              <w:rPr>
                <w:b w:val="0"/>
                <w:sz w:val="18"/>
              </w:rPr>
              <w:t>A return towards the departure aerodrome or stand because of a technical cause. The source record distinguishes an air return from a ground return.</w:t>
            </w:r>
          </w:p>
        </w:tc>
      </w:tr>
      <w:tr>
        <w:trPr>
          <w:cantSplit/>
        </w:trPr>
        <w:tc>
          <w:tcPr>
            <w:tcW w:type="dxa" w:w="2438"/>
          </w:tcPr>
          <w:p>
            <w:pPr>
              <w:keepNext w:val="0"/>
              <w:spacing w:after="80" w:before="80"/>
            </w:pPr>
            <w:r>
              <w:rPr>
                <w:b w:val="0"/>
                <w:sz w:val="18"/>
              </w:rPr>
              <w:t>In-flight shutdown</w:t>
            </w:r>
          </w:p>
        </w:tc>
        <w:tc>
          <w:tcPr>
            <w:tcW w:type="dxa" w:w="7200"/>
          </w:tcPr>
          <w:p>
            <w:pPr>
              <w:keepNext w:val="0"/>
              <w:spacing w:after="80" w:before="80"/>
            </w:pPr>
            <w:r>
              <w:rPr>
                <w:b w:val="0"/>
                <w:sz w:val="18"/>
              </w:rPr>
              <w:t>An engine shutdown in flight, recorded with its circumstances and cause for investigation.</w:t>
            </w:r>
          </w:p>
        </w:tc>
      </w:tr>
      <w:tr>
        <w:trPr>
          <w:cantSplit/>
        </w:trPr>
        <w:tc>
          <w:tcPr>
            <w:tcW w:type="dxa" w:w="2438"/>
          </w:tcPr>
          <w:p>
            <w:pPr>
              <w:keepNext w:val="0"/>
              <w:spacing w:after="80" w:before="80"/>
            </w:pPr>
            <w:r>
              <w:rPr>
                <w:b w:val="0"/>
                <w:sz w:val="18"/>
              </w:rPr>
              <w:t>Rejected take-off</w:t>
            </w:r>
          </w:p>
        </w:tc>
        <w:tc>
          <w:tcPr>
            <w:tcW w:type="dxa" w:w="7200"/>
          </w:tcPr>
          <w:p>
            <w:pPr>
              <w:keepNext w:val="0"/>
              <w:spacing w:after="80" w:before="80"/>
            </w:pPr>
            <w:r>
              <w:rPr>
                <w:b w:val="0"/>
                <w:sz w:val="18"/>
              </w:rPr>
              <w:t>A take-off that is discontinued. Our event investigation records the technical circumstances and their significance.</w:t>
            </w:r>
          </w:p>
        </w:tc>
      </w:tr>
      <w:tr>
        <w:trPr>
          <w:cantSplit/>
        </w:trPr>
        <w:tc>
          <w:tcPr>
            <w:tcW w:type="dxa" w:w="2438"/>
          </w:tcPr>
          <w:p>
            <w:pPr>
              <w:keepNext w:val="0"/>
              <w:spacing w:after="80" w:before="80"/>
            </w:pPr>
            <w:r>
              <w:rPr>
                <w:b w:val="0"/>
                <w:sz w:val="18"/>
              </w:rPr>
              <w:t>Repetitive defect</w:t>
            </w:r>
          </w:p>
        </w:tc>
        <w:tc>
          <w:tcPr>
            <w:tcW w:type="dxa" w:w="7200"/>
          </w:tcPr>
          <w:p>
            <w:pPr>
              <w:keepNext w:val="0"/>
              <w:spacing w:after="80" w:before="80"/>
            </w:pPr>
            <w:r>
              <w:rPr>
                <w:b w:val="0"/>
                <w:sz w:val="18"/>
              </w:rPr>
              <w:t>A possible recurrence identified by the count, aircraft, ATA grouping and elapsed limits in section 8. Engineering review checks whether the entries describe the same defect.</w:t>
            </w:r>
          </w:p>
        </w:tc>
      </w:tr>
      <w:tr>
        <w:trPr>
          <w:cantSplit/>
        </w:trPr>
        <w:tc>
          <w:tcPr>
            <w:tcW w:type="dxa" w:w="2438"/>
          </w:tcPr>
          <w:p>
            <w:pPr>
              <w:keepNext w:val="0"/>
              <w:spacing w:after="80" w:before="80"/>
            </w:pPr>
            <w:r>
              <w:rPr>
                <w:b w:val="0"/>
                <w:sz w:val="18"/>
              </w:rPr>
              <w:t>Running rate</w:t>
            </w:r>
          </w:p>
        </w:tc>
        <w:tc>
          <w:tcPr>
            <w:tcW w:type="dxa" w:w="7200"/>
          </w:tcPr>
          <w:p>
            <w:pPr>
              <w:keepNext w:val="0"/>
              <w:spacing w:after="80" w:before="80"/>
            </w:pPr>
            <w:r>
              <w:rPr>
                <w:b w:val="0"/>
                <w:sz w:val="18"/>
              </w:rPr>
              <w:t>Entries in the selected consecutive-month window, divided by exposure in that same window, multiplied by the selected rate basis.</w:t>
            </w:r>
          </w:p>
        </w:tc>
      </w:tr>
      <w:tr>
        <w:trPr>
          <w:cantSplit/>
        </w:trPr>
        <w:tc>
          <w:tcPr>
            <w:tcW w:type="dxa" w:w="2438"/>
          </w:tcPr>
          <w:p>
            <w:pPr>
              <w:keepNext w:val="0"/>
              <w:spacing w:after="80" w:before="80"/>
            </w:pPr>
            <w:r>
              <w:rPr>
                <w:b w:val="0"/>
                <w:sz w:val="18"/>
              </w:rPr>
              <w:t>Baseline</w:t>
            </w:r>
          </w:p>
        </w:tc>
        <w:tc>
          <w:tcPr>
            <w:tcW w:type="dxa" w:w="7200"/>
          </w:tcPr>
          <w:p>
            <w:pPr>
              <w:keepNext w:val="0"/>
              <w:spacing w:after="80" w:before="80"/>
            </w:pPr>
            <w:r>
              <w:rPr>
                <w:b w:val="0"/>
                <w:sz w:val="18"/>
              </w:rPr>
              <w:t>A fixed period of past observations used to propose alert levels. The reported period is outside its own baseline.</w:t>
            </w:r>
          </w:p>
        </w:tc>
      </w:tr>
      <w:tr>
        <w:trPr>
          <w:cantSplit/>
        </w:trPr>
        <w:tc>
          <w:tcPr>
            <w:tcW w:type="dxa" w:w="2438"/>
          </w:tcPr>
          <w:p>
            <w:pPr>
              <w:keepNext w:val="0"/>
              <w:spacing w:after="80" w:before="80"/>
            </w:pPr>
            <w:r>
              <w:rPr>
                <w:b w:val="0"/>
                <w:sz w:val="18"/>
              </w:rPr>
              <w:t>Alert level</w:t>
            </w:r>
          </w:p>
        </w:tc>
        <w:tc>
          <w:tcPr>
            <w:tcW w:type="dxa" w:w="7200"/>
          </w:tcPr>
          <w:p>
            <w:pPr>
              <w:keepNext w:val="0"/>
              <w:spacing w:after="80" w:before="80"/>
            </w:pPr>
            <w:r>
              <w:rPr>
                <w:b w:val="0"/>
                <w:sz w:val="18"/>
              </w:rPr>
              <w:t>A reference used to detect a change in performance that needs investigation. It is not an airworthiness limit. AC 120-17B 4.2.1.</w:t>
            </w:r>
          </w:p>
        </w:tc>
      </w:tr>
      <w:tr>
        <w:trPr>
          <w:cantSplit/>
        </w:trPr>
        <w:tc>
          <w:tcPr>
            <w:tcW w:type="dxa" w:w="2438"/>
          </w:tcPr>
          <w:p>
            <w:pPr>
              <w:keepNext w:val="0"/>
              <w:spacing w:after="80" w:before="80"/>
            </w:pPr>
            <w:r>
              <w:rPr>
                <w:b w:val="0"/>
                <w:sz w:val="18"/>
              </w:rPr>
              <w:t>Interim alert level</w:t>
            </w:r>
          </w:p>
        </w:tc>
        <w:tc>
          <w:tcPr>
            <w:tcW w:type="dxa" w:w="7200"/>
          </w:tcPr>
          <w:p>
            <w:pPr>
              <w:keepNext w:val="0"/>
              <w:spacing w:after="80" w:before="80"/>
            </w:pPr>
            <w:r>
              <w:rPr>
                <w:b w:val="0"/>
                <w:sz w:val="18"/>
              </w:rPr>
              <w:t>A calculated reference based on fewer complete baseline observations than the threshold in section 8. Its limited evidence needs particular care in our review.</w:t>
            </w:r>
          </w:p>
        </w:tc>
      </w:tr>
      <w:tr>
        <w:trPr>
          <w:cantSplit/>
        </w:trPr>
        <w:tc>
          <w:tcPr>
            <w:tcW w:type="dxa" w:w="2438"/>
          </w:tcPr>
          <w:p>
            <w:pPr>
              <w:keepNext w:val="0"/>
              <w:spacing w:after="80" w:before="80"/>
            </w:pPr>
            <w:r>
              <w:rPr>
                <w:b w:val="0"/>
                <w:sz w:val="18"/>
              </w:rPr>
              <w:t>Reminder</w:t>
            </w:r>
          </w:p>
        </w:tc>
        <w:tc>
          <w:tcPr>
            <w:tcW w:type="dxa" w:w="7200"/>
          </w:tcPr>
          <w:p>
            <w:pPr>
              <w:keepNext w:val="0"/>
              <w:spacing w:after="80" w:before="80"/>
            </w:pPr>
            <w:r>
              <w:rPr>
                <w:b w:val="0"/>
                <w:sz w:val="18"/>
              </w:rPr>
              <w:t>An optional early review indication at the fraction of the alert level set in section 8.</w:t>
            </w:r>
          </w:p>
        </w:tc>
      </w:tr>
      <w:tr>
        <w:trPr>
          <w:cantSplit/>
        </w:trPr>
        <w:tc>
          <w:tcPr>
            <w:tcW w:type="dxa" w:w="2438"/>
          </w:tcPr>
          <w:p>
            <w:pPr>
              <w:keepNext w:val="0"/>
              <w:spacing w:after="80" w:before="80"/>
            </w:pPr>
            <w:r>
              <w:rPr>
                <w:b w:val="0"/>
                <w:sz w:val="18"/>
              </w:rPr>
              <w:t>Exceedance</w:t>
            </w:r>
          </w:p>
        </w:tc>
        <w:tc>
          <w:tcPr>
            <w:tcW w:type="dxa" w:w="7200"/>
          </w:tcPr>
          <w:p>
            <w:pPr>
              <w:keepNext w:val="0"/>
              <w:spacing w:after="80" w:before="80"/>
            </w:pPr>
            <w:r>
              <w:rPr>
                <w:b w:val="0"/>
                <w:sz w:val="18"/>
              </w:rPr>
              <w:t>A running rate at or above its alert level, with at least the minimum entry count set in section 8.</w:t>
            </w:r>
          </w:p>
        </w:tc>
      </w:tr>
      <w:tr>
        <w:trPr>
          <w:cantSplit/>
        </w:trPr>
        <w:tc>
          <w:tcPr>
            <w:tcW w:type="dxa" w:w="2438"/>
          </w:tcPr>
          <w:p>
            <w:pPr>
              <w:keepNext w:val="0"/>
              <w:spacing w:after="80" w:before="80"/>
            </w:pPr>
            <w:r>
              <w:rPr>
                <w:b w:val="0"/>
                <w:sz w:val="18"/>
              </w:rPr>
              <w:t>Nil return</w:t>
            </w:r>
          </w:p>
        </w:tc>
        <w:tc>
          <w:tcPr>
            <w:tcW w:type="dxa" w:w="7200"/>
          </w:tcPr>
          <w:p>
            <w:pPr>
              <w:keepNext w:val="0"/>
              <w:spacing w:after="80" w:before="80"/>
            </w:pPr>
            <w:r>
              <w:rPr>
                <w:b w:val="0"/>
                <w:sz w:val="18"/>
              </w:rPr>
              <w:t>An explicit record of no entries for a monitored item and period after checking that its source data was received.</w:t>
            </w:r>
          </w:p>
        </w:tc>
      </w:tr>
      <w:tr>
        <w:trPr>
          <w:cantSplit/>
        </w:trPr>
        <w:tc>
          <w:tcPr>
            <w:tcW w:type="dxa" w:w="2438"/>
          </w:tcPr>
          <w:p>
            <w:pPr>
              <w:keepNext w:val="0"/>
              <w:spacing w:after="80" w:before="80"/>
            </w:pPr>
            <w:r>
              <w:rPr>
                <w:b w:val="0"/>
                <w:sz w:val="18"/>
              </w:rPr>
              <w:t>Task yield</w:t>
            </w:r>
          </w:p>
        </w:tc>
        <w:tc>
          <w:tcPr>
            <w:tcW w:type="dxa" w:w="7200"/>
          </w:tcPr>
          <w:p>
            <w:pPr>
              <w:keepNext w:val="0"/>
              <w:spacing w:after="80" w:before="80"/>
            </w:pPr>
            <w:r>
              <w:rPr>
                <w:b w:val="0"/>
                <w:sz w:val="18"/>
              </w:rPr>
              <w:t>The actual elapsed interval at task accomplishment divided by the defined task interval, expressed as a percentage. Both use the same unit. AC 120-17B 5.2.3.</w:t>
            </w:r>
          </w:p>
        </w:tc>
      </w:tr>
      <w:tr>
        <w:trPr>
          <w:cantSplit/>
        </w:trPr>
        <w:tc>
          <w:tcPr>
            <w:tcW w:type="dxa" w:w="2438"/>
          </w:tcPr>
          <w:p>
            <w:pPr>
              <w:keepNext w:val="0"/>
              <w:spacing w:after="80" w:before="80"/>
            </w:pPr>
            <w:r>
              <w:rPr>
                <w:b w:val="0"/>
                <w:sz w:val="18"/>
              </w:rPr>
              <w:t>Unit hours / MTBUR / MTBF</w:t>
            </w:r>
          </w:p>
        </w:tc>
        <w:tc>
          <w:tcPr>
            <w:tcW w:type="dxa" w:w="7200"/>
          </w:tcPr>
          <w:p>
            <w:pPr>
              <w:keepNext w:val="0"/>
              <w:spacing w:after="80" w:before="80"/>
            </w:pPr>
            <w:r>
              <w:rPr>
                <w:b w:val="0"/>
                <w:sz w:val="18"/>
              </w:rPr>
              <w:t>Component exposure hours / mean time between unscheduled removals / mean time between confirmed failures, as calculated in section 10.5.</w:t>
            </w:r>
          </w:p>
        </w:tc>
      </w:tr>
    </w:tbl>
    <w:p>
      <w:r>
        <w:t xml:space="preserve">We count flight hours as </w:t>
      </w:r>
      <w:sdt>
        <w:sdtPr>
          <w:id w:val="47"/>
          <w:tag w:val="pick:choice:47"/>
          <w:alias w:val="Choose or edit"/>
          <w:rPr>
            <w:highlight w:val="yellow"/>
          </w:rPr>
          <w:dropDownList w:lastValue="airborne time, take-off to landing">
            <w:listItem w:value="airborne time, take-off to landing" w:displayText="airborne time, take-off to landing"/>
            <w:listItem w:value="the flight-time convention in the approved aircraft records" w:displayText="the flight-time convention in the approved aircraft records"/>
          </w:dropDownList>
        </w:sdtPr>
        <w:sdtContent>
          <w:r>
            <w:rPr>
              <w:highlight w:val="yellow"/>
            </w:rPr>
            <w:t xml:space="preserve">airborne time, take-off to landing</w:t>
          </w:r>
        </w:sdtContent>
      </w:sdt>
      <w:r>
        <w:t xml:space="preserve"> and a flight cycle as </w:t>
      </w:r>
      <w:sdt>
        <w:sdtPr>
          <w:id w:val="48"/>
          <w:tag w:val="pick:choice:48"/>
          <w:alias w:val="Choose or edit"/>
          <w:rPr>
            <w:highlight w:val="yellow"/>
          </w:rPr>
          <w:dropDownList w:lastValue="one take-off and landing">
            <w:listItem w:value="one take-off and landing" w:displayText="one take-off and landing"/>
            <w:listItem w:value="the cycle convention in the approved aircraft records" w:displayText="the cycle convention in the approved aircraft records"/>
          </w:dropDownList>
        </w:sdtPr>
        <w:sdtContent>
          <w:r>
            <w:rPr>
              <w:highlight w:val="yellow"/>
            </w:rPr>
            <w:t xml:space="preserve">one take-off and landing</w:t>
          </w:r>
        </w:sdtContent>
      </w:sdt>
      <w:r>
        <w:t>. We use the same convention for all comparisons.</w:t>
      </w:r>
    </w:p>
    <w:p>
      <w:r>
        <w:t>We count a technical delay once per affected departure when it reaches the section 8 threshold. If the departure is cancelled for that technical cause, we count the cancellation instead of a second interruption. We link duplicate reports to the original event; an unresolved correction stays To check. We distinguish air returns from ground returns in the event description.</w:t>
      </w:r>
    </w:p>
    <w:p>
      <w:pPr>
        <w:pStyle w:val="Fillinghint"/>
      </w:pPr>
      <w:r>
        <w:t>Keep this text if it describes how you work; change the yellow words if not.</w:t>
      </w:r>
    </w:p>
    <w:p>
      <w:pPr>
        <w:pStyle w:val="Heading1"/>
      </w:pPr>
      <w:r>
        <w:t>7. Information sources and collection</w:t>
      </w:r>
      <w:r>
        <w:rPr>
          <w:color w:val="50636A"/>
          <w:sz w:val="18"/>
        </w:rPr>
        <w:br/>
        <w:t>Appendix I 6.5.4.1–6.5.4.3; 6.5.6.4</w:t>
        <w:t xml:space="preserve"> | AC 120-17B 3.1–3.3</w:t>
        <w:t xml:space="preserve"> | M.A.305(g); CAMO.A.220(d)–(f)</w:t>
      </w:r>
    </w:p>
    <w:p>
      <w:r>
        <w:t>Our data owner checks source coverage when the programme is established and at each programme review: pilot reports, technical logs, on-board maintenance readouts, maintenance worksheets, workshop reports, functional checks, special inspections, stores issues, air safety reports, technical delays and incidents, and applicable ETOPS, RVSM or CAT II/III reports. We also review continuing-airworthiness and safety information issued under Part 21 or Part 21 Light. Appendix I 6.5.4.2 gives examples; our objectives and controlled items determine the sources we need.</w:t>
      </w:r>
    </w:p>
    <w:tbl>
      <w:tblPr>
        <w:tblStyle w:val="TableGrid"/>
        <w:tblW w:type="auto" w:w="0"/>
        <w:tblLayout w:type="fixed"/>
        <w:tblLook w:firstColumn="1" w:firstRow="1" w:lastColumn="0" w:lastRow="0" w:noHBand="0" w:noVBand="1" w:val="04A0"/>
      </w:tblPr>
      <w:tblGrid>
        <w:gridCol w:w="2835"/>
        <w:gridCol w:w="3402"/>
        <w:gridCol w:w="3402"/>
      </w:tblGrid>
      <w:tr>
        <w:trPr>
          <w:cantSplit/>
          <w:tblHeader/>
        </w:trPr>
        <w:tc>
          <w:tcPr>
            <w:tcW w:type="dxa" w:w="2835"/>
            <w:shd w:fill="E5EEF0"/>
          </w:tcPr>
          <w:p>
            <w:pPr>
              <w:keepNext/>
              <w:spacing w:after="80" w:before="80"/>
            </w:pPr>
            <w:r>
              <w:rPr>
                <w:b/>
                <w:sz w:val="18"/>
              </w:rPr>
              <w:t>Source / record</w:t>
            </w:r>
          </w:p>
        </w:tc>
        <w:tc>
          <w:tcPr>
            <w:tcW w:type="dxa" w:w="3402"/>
            <w:shd w:fill="E5EEF0"/>
          </w:tcPr>
          <w:p>
            <w:pPr>
              <w:keepNext/>
              <w:spacing w:after="80" w:before="80"/>
            </w:pPr>
            <w:r>
              <w:rPr>
                <w:b/>
                <w:sz w:val="18"/>
              </w:rPr>
              <w:t>Sender → receiver / timing</w:t>
            </w:r>
          </w:p>
        </w:tc>
        <w:tc>
          <w:tcPr>
            <w:tcW w:type="dxa" w:w="3402"/>
            <w:shd w:fill="E5EEF0"/>
          </w:tcPr>
          <w:p>
            <w:pPr>
              <w:keepNext/>
              <w:spacing w:after="80" w:before="80"/>
            </w:pPr>
            <w:r>
              <w:rPr>
                <w:b/>
                <w:sz w:val="18"/>
              </w:rPr>
              <w:t>Checks and procedure</w:t>
            </w:r>
          </w:p>
        </w:tc>
      </w:tr>
      <w:tr>
        <w:trPr>
          <w:cantSplit/>
        </w:trPr>
        <w:tc>
          <w:tcPr>
            <w:tcW w:type="dxa" w:w="2835"/>
          </w:tcPr>
          <w:p>
            <w:pPr>
              <w:keepNext w:val="0"/>
              <w:spacing w:after="80" w:before="80"/>
            </w:pPr>
            <w:r>
              <w:rPr>
                <w:b w:val="0"/>
                <w:sz w:val="18"/>
              </w:rPr>
              <w:t>Technical logs, pilot and maintenance reports; monthly flight hours, cycles and revenue departures; work-pack and shop findings; operational events; manufacturer safety information</w:t>
            </w:r>
          </w:p>
        </w:tc>
        <w:tc>
          <w:tcPr>
            <w:tcW w:type="dxa" w:w="3402"/>
          </w:tcPr>
          <w:p>
            <w:pPr>
              <w:keepNext w:val="0"/>
              <w:spacing w:after="80" w:before="80"/>
            </w:pPr>
            <w:r>
              <w:rPr>
                <w:b w:val="0"/>
                <w:sz w:val="18"/>
              </w:rPr>
              <w:t xml:space="preserve">Operations and maintenance send the </w:t>
            </w:r>
            <w:r>
              <w:rPr>
                <w:b w:val="0"/>
                <w:sz w:val="18"/>
              </w:rPr>
              <w:t>reliability engineer</w:t>
            </w:r>
            <w:r>
              <w:rPr>
                <w:b w:val="0"/>
                <w:sz w:val="18"/>
              </w:rPr>
              <w:t xml:space="preserve"> checked exports through our controlled electronic records system; monthly data by the deadline below, significant events immediately.</w:t>
            </w:r>
          </w:p>
        </w:tc>
        <w:tc>
          <w:tcPr>
            <w:tcW w:type="dxa" w:w="3402"/>
          </w:tcPr>
          <w:p>
            <w:pPr>
              <w:keepNext w:val="0"/>
              <w:spacing w:after="80" w:before="80"/>
            </w:pPr>
            <w:r>
              <w:rPr>
                <w:b w:val="0"/>
                <w:sz w:val="18"/>
              </w:rPr>
              <w:t xml:space="preserve">We apply the receipt and data checks below; the detailed interface is in </w:t>
            </w:r>
            <w:sdt>
              <w:sdtPr>
                <w:id w:val="49"/>
                <w:tag w:val="fact:reference:49"/>
                <w:alias w:val="reference"/>
                <w:rPr>
                  <w:highlight w:val="yellow"/>
                </w:rPr>
                <w:placeholder>
                  <w:docPart w:val="AvioverseFact49"/>
                </w:placeholder>
                <w:showingPlcHdr/>
                <w:text/>
              </w:sdtPr>
              <w:sdtContent>
                <w:r>
                  <w:rPr>
                    <w:rStyle w:val="PlaceholderText"/>
                    <w:highlight w:val="yellow"/>
                  </w:rPr>
                  <w:t xml:space="preserve">[e.g. CAME 1.3]</w:t>
                </w:r>
              </w:sdtContent>
            </w:sdt>
          </w:p>
        </w:tc>
      </w:tr>
    </w:tbl>
    <w:p>
      <w:r>
        <w:t xml:space="preserve">The </w:t>
      </w:r>
      <w:r>
        <w:t>reliability engineer</w:t>
      </w:r>
      <w:r>
        <w:t xml:space="preserve"> requests each monthly export by </w:t>
      </w:r>
      <w:sdt>
        <w:sdtPr>
          <w:id w:val="50"/>
          <w:tag w:val="combo:choice:50"/>
          <w:alias w:val="Choose or edit"/>
          <w:rPr>
            <w:highlight w:val="yellow"/>
          </w:rPr>
          <w:comboBox w:lastValue="10 days">
            <w:listItem w:value="10 days" w:displayText="10 days"/>
            <w:listItem w:value="5 days" w:displayText="5 days"/>
            <w:listItem w:value="15 days" w:displayText="15 days"/>
          </w:comboBox>
        </w:sdtPr>
        <w:sdtContent>
          <w:r>
            <w:rPr>
              <w:highlight w:val="yellow"/>
            </w:rPr>
            <w:t xml:space="preserve">10 days</w:t>
          </w:r>
        </w:sdtContent>
      </w:sdt>
      <w:r>
        <w:t xml:space="preserve"> after month end, records its receipt and follows up missing data with the source owner. We retain the source export and the checked mapping to our registers. Contracted sources follow the same timetable and continuity arrangements in section 13.</w:t>
      </w:r>
    </w:p>
    <w:p>
      <w:r>
        <w:t xml:space="preserve">The </w:t>
      </w:r>
      <w:r>
        <w:t>reliability engineer</w:t>
      </w:r>
      <w:r>
        <w:t xml:space="preserve"> completes data checks within </w:t>
      </w:r>
      <w:sdt>
        <w:sdtPr>
          <w:id w:val="51"/>
          <w:tag w:val="combo:choice:51"/>
          <w:alias w:val="Choose or edit"/>
          <w:rPr>
            <w:highlight w:val="yellow"/>
          </w:rPr>
          <w:comboBox w:lastValue="5 working days">
            <w:listItem w:value="5 working days" w:displayText="5 working days"/>
            <w:listItem w:value="3 working days" w:displayText="3 working days"/>
            <w:listItem w:value="10 working days" w:displayText="10 working days"/>
          </w:comboBox>
        </w:sdtPr>
        <w:sdtContent>
          <w:r>
            <w:rPr>
              <w:highlight w:val="yellow"/>
            </w:rPr>
            <w:t xml:space="preserve">5 working days</w:t>
          </w:r>
        </w:sdtContent>
      </w:sdt>
      <w:r>
        <w:t xml:space="preserve"> of receipt. We check aircraft, dates, ATA coding, duplicates, descriptions and totals against the original source, and exposure for every active aircraft-month, including unflown aircraft. A zero is a checked zero, never a substitute for missing data. We reconcile delays and cancellations using section 6. Unclear rows stay To check with a specific Check reason while the source owner resolves them. We keep the original and correction reference and mark Checked only after resolving the reason. We feed recurring errors back to the source owner; affected reports remain provisional.</w:t>
      </w:r>
    </w:p>
    <w:p>
      <w:r>
        <w:t xml:space="preserve">We keep controlled records in </w:t>
      </w:r>
      <w:sdt>
        <w:sdtPr>
          <w:id w:val="52"/>
          <w:tag w:val="pick:choice:52"/>
          <w:alias w:val="Choose or edit"/>
          <w:rPr>
            <w:highlight w:val="yellow"/>
          </w:rPr>
          <w:dropDownList w:lastValue="our controlled electronic records system with access control and backup">
            <w:listItem w:value="our controlled electronic records system with access control and backup" w:displayText="our controlled electronic records system with access control and backup"/>
            <w:listItem w:value="our controlled paper records and protected electronic exports" w:displayText="our controlled paper records and protected electronic exports"/>
          </w:dropDownList>
        </w:sdtPr>
        <w:sdtContent>
          <w:r>
            <w:rPr>
              <w:highlight w:val="yellow"/>
            </w:rPr>
            <w:t xml:space="preserve">our controlled electronic records system with access control and backup</w:t>
          </w:r>
        </w:sdtContent>
      </w:sdt>
      <w:r>
        <w:t xml:space="preserve">. Our record procedure reference is </w:t>
      </w:r>
      <w:sdt>
        <w:sdtPr>
          <w:id w:val="53"/>
          <w:tag w:val="fact:reference:53"/>
          <w:alias w:val="reference"/>
          <w:rPr>
            <w:highlight w:val="yellow"/>
          </w:rPr>
          <w:placeholder>
            <w:docPart w:val="AvioverseFact53"/>
          </w:placeholder>
          <w:showingPlcHdr/>
          <w:text/>
        </w:sdtPr>
        <w:sdtContent>
          <w:r>
            <w:rPr>
              <w:rStyle w:val="PlaceholderText"/>
              <w:highlight w:val="yellow"/>
            </w:rPr>
            <w:t xml:space="preserve">[e.g. CAME 1.3]</w:t>
          </w:r>
        </w:sdtContent>
      </w:sdt>
      <w:r>
        <w:t>. Access is limited to authorised staff; we protect records from loss, damage and unauthorised alteration.</w:t>
      </w:r>
    </w:p>
    <w:p>
      <w:r>
        <w:t>We keep the technical-log data covering at least 36 months before the last entry. We retain maintenance evidence until replaced by equivalent evidence covering at least 36 months where M.A.305 permits replacement; current modification, repair and life-limit evidence stays with the required current status. We retain our continuing-airworthiness management work records for 3 years after management transfers, and management-system and contract records for at least 5 years. We apply the longer applicable period where categories overlap and transfer retained aircraft records to the owner if our CAMO ceases operation.</w:t>
      </w:r>
    </w:p>
    <w:p>
      <w:pPr>
        <w:pStyle w:val="Fillinghint"/>
      </w:pPr>
      <w:r>
        <w:t>Keep this text if it describes how you work; change the yellow words if not.</w:t>
      </w:r>
    </w:p>
    <w:p>
      <w:pPr>
        <w:pStyle w:val="Heading1"/>
      </w:pPr>
      <w:r>
        <w:t>8. Programme settings</w:t>
      </w:r>
      <w:r>
        <w:rPr>
          <w:color w:val="50636A"/>
          <w:sz w:val="18"/>
        </w:rPr>
        <w:br/>
        <w:t>Appendix I 6.5.3; 6.5.6; 6.5.10.1</w:t>
        <w:t xml:space="preserve"> | AC 120-17B 4.1–4.2; 5.1.1</w:t>
      </w:r>
    </w:p>
    <w:p>
      <w:r>
        <w:t>The first table holds our selected settings. The starting choices are programme choices, not EASA-prescribed thresholds. The reference table explains their meaning and accepted forms.</w:t>
      </w:r>
    </w:p>
    <w:p>
      <w:r>
        <w:t xml:space="preserve">We record our selected settings in </w:t>
      </w:r>
      <w:sdt>
        <w:sdtPr>
          <w:id w:val="54"/>
          <w:tag w:val="fact:reference:54"/>
          <w:alias w:val="reference"/>
          <w:rPr>
            <w:highlight w:val="yellow"/>
          </w:rPr>
          <w:placeholder>
            <w:docPart w:val="AvioverseFact54"/>
          </w:placeholder>
          <w:showingPlcHdr/>
          <w:text/>
        </w:sdtPr>
        <w:sdtContent>
          <w:r>
            <w:rPr>
              <w:rStyle w:val="PlaceholderText"/>
              <w:highlight w:val="yellow"/>
            </w:rPr>
            <w:t xml:space="preserve">[e.g. REL-MIN-001]</w:t>
          </w:r>
        </w:sdtContent>
      </w:sdt>
      <w:r>
        <w:t>.</w:t>
      </w:r>
    </w:p>
    <w:tbl>
      <w:tblPr>
        <w:tblStyle w:val="TableGrid"/>
        <w:tblW w:type="auto" w:w="0"/>
        <w:tblLayout w:type="fixed"/>
        <w:tblLook w:firstColumn="1" w:firstRow="1" w:lastColumn="0" w:lastRow="0" w:noHBand="0" w:noVBand="1" w:val="04A0"/>
      </w:tblPr>
      <w:tblGrid>
        <w:gridCol w:w="3231"/>
        <w:gridCol w:w="6406"/>
      </w:tblGrid>
      <w:tr>
        <w:trPr>
          <w:cantSplit/>
          <w:tblHeader/>
        </w:trPr>
        <w:tc>
          <w:tcPr>
            <w:tcW w:type="dxa" w:w="3231"/>
            <w:shd w:fill="E5EEF0"/>
          </w:tcPr>
          <w:p>
            <w:pPr>
              <w:keepNext/>
              <w:spacing w:after="80" w:before="80"/>
            </w:pPr>
            <w:r>
              <w:rPr>
                <w:b/>
                <w:sz w:val="18"/>
              </w:rPr>
              <w:t>Setting</w:t>
            </w:r>
          </w:p>
        </w:tc>
        <w:tc>
          <w:tcPr>
            <w:tcW w:type="dxa" w:w="6406"/>
            <w:shd w:fill="E5EEF0"/>
          </w:tcPr>
          <w:p>
            <w:pPr>
              <w:keepNext/>
              <w:spacing w:after="80" w:before="80"/>
            </w:pPr>
            <w:r>
              <w:rPr>
                <w:b/>
                <w:sz w:val="18"/>
              </w:rPr>
              <w:t>Value</w:t>
            </w:r>
          </w:p>
        </w:tc>
      </w:tr>
      <w:tr>
        <w:trPr>
          <w:cantSplit/>
        </w:trPr>
        <w:tc>
          <w:tcPr>
            <w:tcW w:type="dxa" w:w="3231"/>
          </w:tcPr>
          <w:p>
            <w:pPr>
              <w:keepNext w:val="0"/>
              <w:spacing w:after="80" w:before="80"/>
            </w:pPr>
            <w:r>
              <w:rPr>
                <w:b w:val="0"/>
                <w:sz w:val="18"/>
              </w:rPr>
              <w:t>Organisation</w:t>
            </w:r>
          </w:p>
        </w:tc>
        <w:tc>
          <w:tcPr>
            <w:tcW w:type="dxa" w:w="6406"/>
          </w:tcPr>
          <w:p>
            <w:pPr>
              <w:keepNext w:val="0"/>
              <w:spacing w:after="80" w:before="80"/>
            </w:pPr>
            <w:r>
              <w:rPr>
                <w:b w:val="0"/>
                <w:sz w:val="18"/>
              </w:rPr>
            </w:r>
            <w:sdt>
              <w:sdtPr>
                <w:id w:val="55"/>
                <w:tag w:val="fact:organisation:55"/>
                <w:alias w:val="organisation"/>
                <w:rPr>
                  <w:highlight w:val="yellow"/>
                </w:rPr>
                <w:placeholder>
                  <w:docPart w:val="AvioverseFact55"/>
                </w:placeholder>
                <w:showingPlcHdr/>
                <w:text/>
              </w:sdtPr>
              <w:sdtContent>
                <w:r>
                  <w:rPr>
                    <w:rStyle w:val="PlaceholderText"/>
                    <w:highlight w:val="yellow"/>
                  </w:rPr>
                  <w:t xml:space="preserve">[e.g. ExampleCAMO]</w:t>
                </w:r>
              </w:sdtContent>
            </w:sdt>
          </w:p>
        </w:tc>
      </w:tr>
      <w:tr>
        <w:trPr>
          <w:cantSplit/>
        </w:trPr>
        <w:tc>
          <w:tcPr>
            <w:tcW w:type="dxa" w:w="3231"/>
          </w:tcPr>
          <w:p>
            <w:pPr>
              <w:keepNext w:val="0"/>
              <w:spacing w:after="80" w:before="80"/>
            </w:pPr>
            <w:r>
              <w:rPr>
                <w:b w:val="0"/>
                <w:sz w:val="18"/>
              </w:rPr>
              <w:t>Aircraft type</w:t>
            </w:r>
          </w:p>
        </w:tc>
        <w:tc>
          <w:tcPr>
            <w:tcW w:type="dxa" w:w="6406"/>
          </w:tcPr>
          <w:p>
            <w:pPr>
              <w:keepNext w:val="0"/>
              <w:spacing w:after="80" w:before="80"/>
            </w:pPr>
            <w:r>
              <w:rPr>
                <w:b w:val="0"/>
                <w:sz w:val="18"/>
              </w:rPr>
            </w:r>
            <w:sdt>
              <w:sdtPr>
                <w:id w:val="56"/>
                <w:tag w:val="fact:aircraft_type:56"/>
                <w:alias w:val="aircraft_type"/>
                <w:rPr>
                  <w:highlight w:val="yellow"/>
                </w:rPr>
                <w:placeholder>
                  <w:docPart w:val="AvioverseFact56"/>
                </w:placeholder>
                <w:showingPlcHdr/>
                <w:text/>
              </w:sdtPr>
              <w:sdtContent>
                <w:r>
                  <w:rPr>
                    <w:rStyle w:val="PlaceholderText"/>
                    <w:highlight w:val="yellow"/>
                  </w:rPr>
                  <w:t xml:space="preserve">[e.g. Example Type 42]</w:t>
                </w:r>
              </w:sdtContent>
            </w:sdt>
          </w:p>
        </w:tc>
      </w:tr>
      <w:tr>
        <w:trPr>
          <w:cantSplit/>
        </w:trPr>
        <w:tc>
          <w:tcPr>
            <w:tcW w:type="dxa" w:w="3231"/>
          </w:tcPr>
          <w:p>
            <w:pPr>
              <w:keepNext w:val="0"/>
              <w:spacing w:after="80" w:before="80"/>
            </w:pPr>
            <w:r>
              <w:rPr>
                <w:b w:val="0"/>
                <w:sz w:val="18"/>
              </w:rPr>
              <w:t>Report period</w:t>
            </w:r>
          </w:p>
        </w:tc>
        <w:tc>
          <w:tcPr>
            <w:tcW w:type="dxa" w:w="6406"/>
          </w:tcPr>
          <w:p>
            <w:pPr>
              <w:keepNext w:val="0"/>
              <w:spacing w:after="80" w:before="80"/>
            </w:pPr>
            <w:r>
              <w:rPr>
                <w:b w:val="0"/>
                <w:sz w:val="18"/>
              </w:rPr>
            </w:r>
            <w:sdt>
              <w:sdtPr>
                <w:id w:val="57"/>
                <w:tag w:val="pick:choice:57"/>
                <w:alias w:val="Choose or edit"/>
                <w:rPr>
                  <w:highlight w:val="yellow"/>
                </w:rPr>
                <w:dropDownList w:lastValue="Quarterly">
                  <w:listItem w:value="Quarterly" w:displayText="Quarterly"/>
                  <w:listItem w:value="Monthly" w:displayText="Monthly"/>
                  <w:listItem w:value="Half-yearly" w:displayText="Half-yearly"/>
                  <w:listItem w:value="Yearly" w:displayText="Yearly"/>
                </w:dropDownList>
              </w:sdtPr>
              <w:sdtContent>
                <w:r>
                  <w:rPr>
                    <w:highlight w:val="yellow"/>
                  </w:rPr>
                  <w:t xml:space="preserve">Quarterly</w:t>
                </w:r>
              </w:sdtContent>
            </w:sdt>
          </w:p>
        </w:tc>
      </w:tr>
      <w:tr>
        <w:trPr>
          <w:cantSplit/>
        </w:trPr>
        <w:tc>
          <w:tcPr>
            <w:tcW w:type="dxa" w:w="3231"/>
          </w:tcPr>
          <w:p>
            <w:pPr>
              <w:keepNext w:val="0"/>
              <w:spacing w:after="80" w:before="80"/>
            </w:pPr>
            <w:r>
              <w:rPr>
                <w:b w:val="0"/>
                <w:sz w:val="18"/>
              </w:rPr>
              <w:t>Alert level method</w:t>
            </w:r>
          </w:p>
        </w:tc>
        <w:tc>
          <w:tcPr>
            <w:tcW w:type="dxa" w:w="6406"/>
          </w:tcPr>
          <w:p>
            <w:pPr>
              <w:keepNext w:val="0"/>
              <w:spacing w:after="80" w:before="80"/>
            </w:pPr>
            <w:r>
              <w:rPr>
                <w:b w:val="0"/>
                <w:sz w:val="18"/>
              </w:rPr>
            </w:r>
            <w:sdt>
              <w:sdtPr>
                <w:id w:val="58"/>
                <w:tag w:val="combo:choice:58"/>
                <w:alias w:val="Choose or edit"/>
                <w:rPr>
                  <w:highlight w:val="yellow"/>
                </w:rPr>
                <w:comboBox w:lastValue="Mean plus 3 standard deviations">
                  <w:listItem w:value="Mean plus 3 standard deviations" w:displayText="Mean plus 3 standard deviations"/>
                  <w:listItem w:value="Mean plus 2 standard deviations" w:displayText="Mean plus 2 standard deviations"/>
                  <w:listItem w:value="Mean plus 2.5 standard deviations" w:displayText="Mean plus 2.5 standard deviations"/>
                  <w:listItem w:value="Approved alert levels only" w:displayText="Approved alert levels only"/>
                </w:comboBox>
              </w:sdtPr>
              <w:sdtContent>
                <w:r>
                  <w:rPr>
                    <w:highlight w:val="yellow"/>
                  </w:rPr>
                  <w:t xml:space="preserve">Mean plus 3 standard deviations</w:t>
                </w:r>
              </w:sdtContent>
            </w:sdt>
          </w:p>
        </w:tc>
      </w:tr>
      <w:tr>
        <w:trPr>
          <w:cantSplit/>
        </w:trPr>
        <w:tc>
          <w:tcPr>
            <w:tcW w:type="dxa" w:w="3231"/>
          </w:tcPr>
          <w:p>
            <w:pPr>
              <w:keepNext w:val="0"/>
              <w:spacing w:after="80" w:before="80"/>
            </w:pPr>
            <w:r>
              <w:rPr>
                <w:b w:val="0"/>
                <w:sz w:val="18"/>
              </w:rPr>
              <w:t>Standard deviation</w:t>
            </w:r>
          </w:p>
        </w:tc>
        <w:tc>
          <w:tcPr>
            <w:tcW w:type="dxa" w:w="6406"/>
          </w:tcPr>
          <w:p>
            <w:pPr>
              <w:keepNext w:val="0"/>
              <w:spacing w:after="80" w:before="80"/>
            </w:pPr>
            <w:r>
              <w:rPr>
                <w:b w:val="0"/>
                <w:sz w:val="18"/>
              </w:rPr>
            </w:r>
            <w:sdt>
              <w:sdtPr>
                <w:id w:val="59"/>
                <w:tag w:val="pick:choice:59"/>
                <w:alias w:val="Choose or edit"/>
                <w:rPr>
                  <w:highlight w:val="yellow"/>
                </w:rPr>
                <w:dropDownList w:lastValue="Sample (n − 1)">
                  <w:listItem w:value="Sample (n − 1)" w:displayText="Sample (n − 1)"/>
                  <w:listItem w:value="Population (n)" w:displayText="Population (n)"/>
                </w:dropDownList>
              </w:sdtPr>
              <w:sdtContent>
                <w:r>
                  <w:rPr>
                    <w:highlight w:val="yellow"/>
                  </w:rPr>
                  <w:t xml:space="preserve">Sample (n − 1)</w:t>
                </w:r>
              </w:sdtContent>
            </w:sdt>
          </w:p>
        </w:tc>
      </w:tr>
      <w:tr>
        <w:trPr>
          <w:cantSplit/>
        </w:trPr>
        <w:tc>
          <w:tcPr>
            <w:tcW w:type="dxa" w:w="3231"/>
          </w:tcPr>
          <w:p>
            <w:pPr>
              <w:keepNext w:val="0"/>
              <w:spacing w:after="80" w:before="80"/>
            </w:pPr>
            <w:r>
              <w:rPr>
                <w:b w:val="0"/>
                <w:sz w:val="18"/>
              </w:rPr>
              <w:t>Running rate</w:t>
            </w:r>
          </w:p>
        </w:tc>
        <w:tc>
          <w:tcPr>
            <w:tcW w:type="dxa" w:w="6406"/>
          </w:tcPr>
          <w:p>
            <w:pPr>
              <w:keepNext w:val="0"/>
              <w:spacing w:after="80" w:before="80"/>
            </w:pPr>
            <w:r>
              <w:rPr>
                <w:b w:val="0"/>
                <w:sz w:val="18"/>
              </w:rPr>
            </w:r>
            <w:sdt>
              <w:sdtPr>
                <w:id w:val="60"/>
                <w:tag w:val="combo:choice:60"/>
                <w:alias w:val="Choose or edit"/>
                <w:rPr>
                  <w:highlight w:val="yellow"/>
                </w:rPr>
                <w:comboBox w:lastValue="3 months">
                  <w:listItem w:value="3 months" w:displayText="3 months"/>
                  <w:listItem w:value="1 month" w:displayText="1 month"/>
                  <w:listItem w:value="6 months" w:displayText="6 months"/>
                  <w:listItem w:value="12 months" w:displayText="12 months"/>
                </w:comboBox>
              </w:sdtPr>
              <w:sdtContent>
                <w:r>
                  <w:rPr>
                    <w:highlight w:val="yellow"/>
                  </w:rPr>
                  <w:t xml:space="preserve">3 months</w:t>
                </w:r>
              </w:sdtContent>
            </w:sdt>
          </w:p>
        </w:tc>
      </w:tr>
      <w:tr>
        <w:trPr>
          <w:cantSplit/>
        </w:trPr>
        <w:tc>
          <w:tcPr>
            <w:tcW w:type="dxa" w:w="3231"/>
          </w:tcPr>
          <w:p>
            <w:pPr>
              <w:keepNext w:val="0"/>
              <w:spacing w:after="80" w:before="80"/>
            </w:pPr>
            <w:r>
              <w:rPr>
                <w:b w:val="0"/>
                <w:sz w:val="18"/>
              </w:rPr>
              <w:t>Baseline</w:t>
            </w:r>
          </w:p>
        </w:tc>
        <w:tc>
          <w:tcPr>
            <w:tcW w:type="dxa" w:w="6406"/>
          </w:tcPr>
          <w:p>
            <w:pPr>
              <w:keepNext w:val="0"/>
              <w:spacing w:after="80" w:before="80"/>
            </w:pPr>
            <w:r>
              <w:rPr>
                <w:b w:val="0"/>
                <w:sz w:val="18"/>
              </w:rPr>
            </w:r>
            <w:sdt>
              <w:sdtPr>
                <w:id w:val="61"/>
                <w:tag w:val="combo:choice:61"/>
                <w:alias w:val="Choose or edit"/>
                <w:rPr>
                  <w:highlight w:val="yellow"/>
                </w:rPr>
                <w:comboBox w:lastValue="24 months before the alert levels take effect">
                  <w:listItem w:value="24 months before the alert levels take effect" w:displayText="24 months before the alert levels take effect"/>
                  <w:listItem w:value="12 months before the alert levels take effect" w:displayText="12 months before the alert levels take effect"/>
                  <w:listItem w:value="36 months before the alert levels take effect" w:displayText="36 months before the alert levels take effect"/>
                </w:comboBox>
              </w:sdtPr>
              <w:sdtContent>
                <w:r>
                  <w:rPr>
                    <w:highlight w:val="yellow"/>
                  </w:rPr>
                  <w:t xml:space="preserve">24 months before the alert levels take effect</w:t>
                </w:r>
              </w:sdtContent>
            </w:sdt>
          </w:p>
        </w:tc>
      </w:tr>
      <w:tr>
        <w:trPr>
          <w:cantSplit/>
        </w:trPr>
        <w:tc>
          <w:tcPr>
            <w:tcW w:type="dxa" w:w="3231"/>
          </w:tcPr>
          <w:p>
            <w:pPr>
              <w:keepNext w:val="0"/>
              <w:spacing w:after="80" w:before="80"/>
            </w:pPr>
            <w:r>
              <w:rPr>
                <w:b w:val="0"/>
                <w:sz w:val="18"/>
              </w:rPr>
              <w:t>Alert levels revised</w:t>
            </w:r>
          </w:p>
        </w:tc>
        <w:tc>
          <w:tcPr>
            <w:tcW w:type="dxa" w:w="6406"/>
          </w:tcPr>
          <w:p>
            <w:pPr>
              <w:keepNext w:val="0"/>
              <w:spacing w:after="80" w:before="80"/>
            </w:pPr>
            <w:r>
              <w:rPr>
                <w:b w:val="0"/>
                <w:sz w:val="18"/>
              </w:rPr>
            </w:r>
            <w:sdt>
              <w:sdtPr>
                <w:id w:val="62"/>
                <w:tag w:val="combo:choice:62"/>
                <w:alias w:val="Choose or edit"/>
                <w:rPr>
                  <w:highlight w:val="yellow"/>
                </w:rPr>
                <w:comboBox w:lastValue="Every 12 months, effective 1 January">
                  <w:listItem w:value="Every 12 months, effective 1 January" w:displayText="Every 12 months, effective 1 January"/>
                  <w:listItem w:value="Every 6 months, effective 1 January" w:displayText="Every 6 months, effective 1 January"/>
                  <w:listItem w:value="Every 12 months, effective 1 July" w:displayText="Every 12 months, effective 1 July"/>
                </w:comboBox>
              </w:sdtPr>
              <w:sdtContent>
                <w:r>
                  <w:rPr>
                    <w:highlight w:val="yellow"/>
                  </w:rPr>
                  <w:t xml:space="preserve">Every 12 months, effective 1 January</w:t>
                </w:r>
              </w:sdtContent>
            </w:sdt>
          </w:p>
        </w:tc>
      </w:tr>
      <w:tr>
        <w:trPr>
          <w:cantSplit/>
        </w:trPr>
        <w:tc>
          <w:tcPr>
            <w:tcW w:type="dxa" w:w="3231"/>
          </w:tcPr>
          <w:p>
            <w:pPr>
              <w:keepNext w:val="0"/>
              <w:spacing w:after="80" w:before="80"/>
            </w:pPr>
            <w:r>
              <w:rPr>
                <w:b w:val="0"/>
                <w:sz w:val="18"/>
              </w:rPr>
              <w:t>Interim alert level</w:t>
            </w:r>
          </w:p>
        </w:tc>
        <w:tc>
          <w:tcPr>
            <w:tcW w:type="dxa" w:w="6406"/>
          </w:tcPr>
          <w:p>
            <w:pPr>
              <w:keepNext w:val="0"/>
              <w:spacing w:after="80" w:before="80"/>
            </w:pPr>
            <w:r>
              <w:rPr>
                <w:b w:val="0"/>
                <w:sz w:val="18"/>
              </w:rPr>
            </w:r>
            <w:sdt>
              <w:sdtPr>
                <w:id w:val="63"/>
                <w:tag w:val="combo:choice:63"/>
                <w:alias w:val="Choose or edit"/>
                <w:rPr>
                  <w:highlight w:val="yellow"/>
                </w:rPr>
                <w:comboBox w:lastValue="Fewer than 12 months of data">
                  <w:listItem w:value="Fewer than 12 months of data" w:displayText="Fewer than 12 months of data"/>
                  <w:listItem w:value="Fewer than 6 months of data" w:displayText="Fewer than 6 months of data"/>
                  <w:listItem w:value="Fewer than 24 months of data" w:displayText="Fewer than 24 months of data"/>
                </w:comboBox>
              </w:sdtPr>
              <w:sdtContent>
                <w:r>
                  <w:rPr>
                    <w:highlight w:val="yellow"/>
                  </w:rPr>
                  <w:t xml:space="preserve">Fewer than 12 months of data</w:t>
                </w:r>
              </w:sdtContent>
            </w:sdt>
          </w:p>
        </w:tc>
      </w:tr>
      <w:tr>
        <w:trPr>
          <w:cantSplit/>
        </w:trPr>
        <w:tc>
          <w:tcPr>
            <w:tcW w:type="dxa" w:w="3231"/>
          </w:tcPr>
          <w:p>
            <w:pPr>
              <w:keepNext w:val="0"/>
              <w:spacing w:after="80" w:before="80"/>
            </w:pPr>
            <w:r>
              <w:rPr>
                <w:b w:val="0"/>
                <w:sz w:val="18"/>
              </w:rPr>
              <w:t>Minimum entries for an alert</w:t>
            </w:r>
          </w:p>
        </w:tc>
        <w:tc>
          <w:tcPr>
            <w:tcW w:type="dxa" w:w="6406"/>
          </w:tcPr>
          <w:p>
            <w:pPr>
              <w:keepNext w:val="0"/>
              <w:spacing w:after="80" w:before="80"/>
            </w:pPr>
            <w:r>
              <w:rPr>
                <w:b w:val="0"/>
                <w:sz w:val="18"/>
              </w:rPr>
            </w:r>
            <w:sdt>
              <w:sdtPr>
                <w:id w:val="64"/>
                <w:tag w:val="combo:choice:64"/>
                <w:alias w:val="Choose or edit"/>
                <w:rPr>
                  <w:highlight w:val="yellow"/>
                </w:rPr>
                <w:comboBox w:lastValue="3">
                  <w:listItem w:value="3" w:displayText="3"/>
                  <w:listItem w:value="1" w:displayText="1"/>
                  <w:listItem w:value="2" w:displayText="2"/>
                  <w:listItem w:value="5" w:displayText="5"/>
                </w:comboBox>
              </w:sdtPr>
              <w:sdtContent>
                <w:r>
                  <w:rPr>
                    <w:highlight w:val="yellow"/>
                  </w:rPr>
                  <w:t xml:space="preserve">3</w:t>
                </w:r>
              </w:sdtContent>
            </w:sdt>
          </w:p>
        </w:tc>
      </w:tr>
      <w:tr>
        <w:trPr>
          <w:cantSplit/>
        </w:trPr>
        <w:tc>
          <w:tcPr>
            <w:tcW w:type="dxa" w:w="3231"/>
          </w:tcPr>
          <w:p>
            <w:pPr>
              <w:keepNext w:val="0"/>
              <w:spacing w:after="80" w:before="80"/>
            </w:pPr>
            <w:r>
              <w:rPr>
                <w:b w:val="0"/>
                <w:sz w:val="18"/>
              </w:rPr>
              <w:t>Reminder</w:t>
            </w:r>
          </w:p>
        </w:tc>
        <w:tc>
          <w:tcPr>
            <w:tcW w:type="dxa" w:w="6406"/>
          </w:tcPr>
          <w:p>
            <w:pPr>
              <w:keepNext w:val="0"/>
              <w:spacing w:after="80" w:before="80"/>
            </w:pPr>
            <w:r>
              <w:rPr>
                <w:b w:val="0"/>
                <w:sz w:val="18"/>
              </w:rPr>
            </w:r>
            <w:sdt>
              <w:sdtPr>
                <w:id w:val="65"/>
                <w:tag w:val="combo:choice:65"/>
                <w:alias w:val="Choose or edit"/>
                <w:rPr>
                  <w:highlight w:val="yellow"/>
                </w:rPr>
                <w:comboBox w:lastValue="85% of the alert level">
                  <w:listItem w:value="85% of the alert level" w:displayText="85% of the alert level"/>
                  <w:listItem w:value="Not used" w:displayText="Not used"/>
                  <w:listItem w:value="90% of the alert level" w:displayText="90% of the alert level"/>
                </w:comboBox>
              </w:sdtPr>
              <w:sdtContent>
                <w:r>
                  <w:rPr>
                    <w:highlight w:val="yellow"/>
                  </w:rPr>
                  <w:t xml:space="preserve">85% of the alert level</w:t>
                </w:r>
              </w:sdtContent>
            </w:sdt>
          </w:p>
        </w:tc>
      </w:tr>
      <w:tr>
        <w:trPr>
          <w:cantSplit/>
        </w:trPr>
        <w:tc>
          <w:tcPr>
            <w:tcW w:type="dxa" w:w="3231"/>
          </w:tcPr>
          <w:p>
            <w:pPr>
              <w:keepNext w:val="0"/>
              <w:spacing w:after="80" w:before="80"/>
            </w:pPr>
            <w:r>
              <w:rPr>
                <w:b w:val="0"/>
                <w:sz w:val="18"/>
              </w:rPr>
              <w:t>Rate basis: pilot reports</w:t>
            </w:r>
          </w:p>
        </w:tc>
        <w:tc>
          <w:tcPr>
            <w:tcW w:type="dxa" w:w="6406"/>
          </w:tcPr>
          <w:p>
            <w:pPr>
              <w:keepNext w:val="0"/>
              <w:spacing w:after="80" w:before="80"/>
            </w:pPr>
            <w:r>
              <w:rPr>
                <w:b w:val="0"/>
                <w:sz w:val="18"/>
              </w:rPr>
            </w:r>
            <w:sdt>
              <w:sdtPr>
                <w:id w:val="66"/>
                <w:tag w:val="pick:choice:66"/>
                <w:alias w:val="Choose or edit"/>
                <w:rPr>
                  <w:highlight w:val="yellow"/>
                </w:rPr>
                <w:dropDownList w:lastValue="per 1,000 flight hours">
                  <w:listItem w:value="per 1,000 flight hours" w:displayText="per 1,000 flight hours"/>
                  <w:listItem w:value="per 100 flight hours" w:displayText="per 100 flight hours"/>
                  <w:listItem w:value="per 1,000 flight cycles" w:displayText="per 1,000 flight cycles"/>
                  <w:listItem w:value="per 100 flight cycles" w:displayText="per 100 flight cycles"/>
                </w:dropDownList>
              </w:sdtPr>
              <w:sdtContent>
                <w:r>
                  <w:rPr>
                    <w:highlight w:val="yellow"/>
                  </w:rPr>
                  <w:t xml:space="preserve">per 1,000 flight hours</w:t>
                </w:r>
              </w:sdtContent>
            </w:sdt>
          </w:p>
        </w:tc>
      </w:tr>
      <w:tr>
        <w:trPr>
          <w:cantSplit/>
        </w:trPr>
        <w:tc>
          <w:tcPr>
            <w:tcW w:type="dxa" w:w="3231"/>
          </w:tcPr>
          <w:p>
            <w:pPr>
              <w:keepNext w:val="0"/>
              <w:spacing w:after="80" w:before="80"/>
            </w:pPr>
            <w:r>
              <w:rPr>
                <w:b w:val="0"/>
                <w:sz w:val="18"/>
              </w:rPr>
              <w:t>Rate basis: maintenance reports</w:t>
            </w:r>
          </w:p>
        </w:tc>
        <w:tc>
          <w:tcPr>
            <w:tcW w:type="dxa" w:w="6406"/>
          </w:tcPr>
          <w:p>
            <w:pPr>
              <w:keepNext w:val="0"/>
              <w:spacing w:after="80" w:before="80"/>
            </w:pPr>
            <w:r>
              <w:rPr>
                <w:b w:val="0"/>
                <w:sz w:val="18"/>
              </w:rPr>
            </w:r>
            <w:sdt>
              <w:sdtPr>
                <w:id w:val="67"/>
                <w:tag w:val="pick:choice:67"/>
                <w:alias w:val="Choose or edit"/>
                <w:rPr>
                  <w:highlight w:val="yellow"/>
                </w:rPr>
                <w:dropDownList w:lastValue="per 1,000 flight hours">
                  <w:listItem w:value="per 1,000 flight hours" w:displayText="per 1,000 flight hours"/>
                  <w:listItem w:value="per 100 flight hours" w:displayText="per 100 flight hours"/>
                  <w:listItem w:value="per 1,000 flight cycles" w:displayText="per 1,000 flight cycles"/>
                  <w:listItem w:value="per 100 flight cycles" w:displayText="per 100 flight cycles"/>
                </w:dropDownList>
              </w:sdtPr>
              <w:sdtContent>
                <w:r>
                  <w:rPr>
                    <w:highlight w:val="yellow"/>
                  </w:rPr>
                  <w:t xml:space="preserve">per 1,000 flight hours</w:t>
                </w:r>
              </w:sdtContent>
            </w:sdt>
          </w:p>
        </w:tc>
      </w:tr>
      <w:tr>
        <w:trPr>
          <w:cantSplit/>
        </w:trPr>
        <w:tc>
          <w:tcPr>
            <w:tcW w:type="dxa" w:w="3231"/>
          </w:tcPr>
          <w:p>
            <w:pPr>
              <w:keepNext w:val="0"/>
              <w:spacing w:after="80" w:before="80"/>
            </w:pPr>
            <w:r>
              <w:rPr>
                <w:b w:val="0"/>
                <w:sz w:val="18"/>
              </w:rPr>
              <w:t>Rate basis: component removals</w:t>
            </w:r>
          </w:p>
        </w:tc>
        <w:tc>
          <w:tcPr>
            <w:tcW w:type="dxa" w:w="6406"/>
          </w:tcPr>
          <w:p>
            <w:pPr>
              <w:keepNext w:val="0"/>
              <w:spacing w:after="80" w:before="80"/>
            </w:pPr>
            <w:r>
              <w:rPr>
                <w:b w:val="0"/>
                <w:sz w:val="18"/>
              </w:rPr>
            </w:r>
            <w:sdt>
              <w:sdtPr>
                <w:id w:val="68"/>
                <w:tag w:val="pick:choice:68"/>
                <w:alias w:val="Choose or edit"/>
                <w:rPr>
                  <w:highlight w:val="yellow"/>
                </w:rPr>
                <w:dropDownList w:lastValue="per 1,000 flight hours">
                  <w:listItem w:value="per 1,000 flight hours" w:displayText="per 1,000 flight hours"/>
                  <w:listItem w:value="per 100 flight hours" w:displayText="per 100 flight hours"/>
                  <w:listItem w:value="per 1,000 flight cycles" w:displayText="per 1,000 flight cycles"/>
                  <w:listItem w:value="per 100 flight cycles" w:displayText="per 100 flight cycles"/>
                </w:dropDownList>
              </w:sdtPr>
              <w:sdtContent>
                <w:r>
                  <w:rPr>
                    <w:highlight w:val="yellow"/>
                  </w:rPr>
                  <w:t xml:space="preserve">per 1,000 flight hours</w:t>
                </w:r>
              </w:sdtContent>
            </w:sdt>
          </w:p>
        </w:tc>
      </w:tr>
      <w:tr>
        <w:trPr>
          <w:cantSplit/>
        </w:trPr>
        <w:tc>
          <w:tcPr>
            <w:tcW w:type="dxa" w:w="3231"/>
          </w:tcPr>
          <w:p>
            <w:pPr>
              <w:keepNext w:val="0"/>
              <w:spacing w:after="80" w:before="80"/>
            </w:pPr>
            <w:r>
              <w:rPr>
                <w:b w:val="0"/>
                <w:sz w:val="18"/>
              </w:rPr>
              <w:t>Technical delay</w:t>
            </w:r>
          </w:p>
        </w:tc>
        <w:tc>
          <w:tcPr>
            <w:tcW w:type="dxa" w:w="6406"/>
          </w:tcPr>
          <w:p>
            <w:pPr>
              <w:keepNext w:val="0"/>
              <w:spacing w:after="80" w:before="80"/>
            </w:pPr>
            <w:r>
              <w:rPr>
                <w:b w:val="0"/>
                <w:sz w:val="18"/>
              </w:rPr>
            </w:r>
            <w:sdt>
              <w:sdtPr>
                <w:id w:val="69"/>
                <w:tag w:val="combo:choice:69"/>
                <w:alias w:val="Choose or edit"/>
                <w:rPr>
                  <w:highlight w:val="yellow"/>
                </w:rPr>
                <w:comboBox w:lastValue="15 minutes or more">
                  <w:listItem w:value="15 minutes or more" w:displayText="15 minutes or more"/>
                  <w:listItem w:value="5 minutes or more" w:displayText="5 minutes or more"/>
                  <w:listItem w:value="30 minutes or more" w:displayText="30 minutes or more"/>
                </w:comboBox>
              </w:sdtPr>
              <w:sdtContent>
                <w:r>
                  <w:rPr>
                    <w:highlight w:val="yellow"/>
                  </w:rPr>
                  <w:t xml:space="preserve">15 minutes or more</w:t>
                </w:r>
              </w:sdtContent>
            </w:sdt>
          </w:p>
        </w:tc>
      </w:tr>
      <w:tr>
        <w:trPr>
          <w:cantSplit/>
        </w:trPr>
        <w:tc>
          <w:tcPr>
            <w:tcW w:type="dxa" w:w="3231"/>
          </w:tcPr>
          <w:p>
            <w:pPr>
              <w:keepNext w:val="0"/>
              <w:spacing w:after="80" w:before="80"/>
            </w:pPr>
            <w:r>
              <w:rPr>
                <w:b w:val="0"/>
                <w:sz w:val="18"/>
              </w:rPr>
              <w:t>Dispatch reliability departures</w:t>
            </w:r>
          </w:p>
        </w:tc>
        <w:tc>
          <w:tcPr>
            <w:tcW w:type="dxa" w:w="6406"/>
          </w:tcPr>
          <w:p>
            <w:pPr>
              <w:keepNext w:val="0"/>
              <w:spacing w:after="80" w:before="80"/>
            </w:pPr>
            <w:r>
              <w:rPr>
                <w:b w:val="0"/>
                <w:sz w:val="18"/>
              </w:rPr>
            </w:r>
            <w:sdt>
              <w:sdtPr>
                <w:id w:val="70"/>
                <w:tag w:val="pick:choice:70"/>
                <w:alias w:val="Choose or edit"/>
                <w:rPr>
                  <w:highlight w:val="yellow"/>
                </w:rPr>
                <w:dropDownList w:lastValue="Revenue departures">
                  <w:listItem w:value="Revenue departures" w:displayText="Revenue departures"/>
                  <w:listItem w:value="All departures" w:displayText="All departures"/>
                </w:dropDownList>
              </w:sdtPr>
              <w:sdtContent>
                <w:r>
                  <w:rPr>
                    <w:highlight w:val="yellow"/>
                  </w:rPr>
                  <w:t xml:space="preserve">Revenue departures</w:t>
                </w:r>
              </w:sdtContent>
            </w:sdt>
          </w:p>
        </w:tc>
      </w:tr>
      <w:tr>
        <w:trPr>
          <w:cantSplit/>
        </w:trPr>
        <w:tc>
          <w:tcPr>
            <w:tcW w:type="dxa" w:w="3231"/>
          </w:tcPr>
          <w:p>
            <w:pPr>
              <w:keepNext w:val="0"/>
              <w:spacing w:after="80" w:before="80"/>
            </w:pPr>
            <w:r>
              <w:rPr>
                <w:b w:val="0"/>
                <w:sz w:val="18"/>
              </w:rPr>
              <w:t>Monitored ATA chapters</w:t>
            </w:r>
          </w:p>
        </w:tc>
        <w:tc>
          <w:tcPr>
            <w:tcW w:type="dxa" w:w="6406"/>
          </w:tcPr>
          <w:p>
            <w:pPr>
              <w:keepNext w:val="0"/>
              <w:spacing w:after="80" w:before="80"/>
            </w:pPr>
            <w:r>
              <w:rPr>
                <w:b w:val="0"/>
                <w:sz w:val="18"/>
              </w:rPr>
            </w:r>
            <w:sdt>
              <w:sdtPr>
                <w:id w:val="71"/>
                <w:tag w:val="combo:choice:71"/>
                <w:alias w:val="Choose or edit"/>
                <w:rPr>
                  <w:highlight w:val="yellow"/>
                </w:rPr>
                <w:comboBox w:lastValue="21-36, 38, 49, 51-57, 71-80">
                  <w:listItem w:value="21-36, 38, 49, 51-57, 71-80" w:displayText="21-36, 38, 49, 51-57, 71-80"/>
                  <w:listItem w:value="All chapters with entries" w:displayText="All chapters with entries"/>
                </w:comboBox>
              </w:sdtPr>
              <w:sdtContent>
                <w:r>
                  <w:rPr>
                    <w:highlight w:val="yellow"/>
                  </w:rPr>
                  <w:t xml:space="preserve">21-36, 38, 49, 51-57, 71-80</w:t>
                </w:r>
              </w:sdtContent>
            </w:sdt>
          </w:p>
        </w:tc>
      </w:tr>
      <w:tr>
        <w:trPr>
          <w:cantSplit/>
        </w:trPr>
        <w:tc>
          <w:tcPr>
            <w:tcW w:type="dxa" w:w="3231"/>
          </w:tcPr>
          <w:p>
            <w:pPr>
              <w:keepNext w:val="0"/>
              <w:spacing w:after="80" w:before="80"/>
            </w:pPr>
            <w:r>
              <w:rPr>
                <w:b w:val="0"/>
                <w:sz w:val="18"/>
              </w:rPr>
              <w:t>Event-based items</w:t>
            </w:r>
          </w:p>
        </w:tc>
        <w:tc>
          <w:tcPr>
            <w:tcW w:type="dxa" w:w="6406"/>
          </w:tcPr>
          <w:p>
            <w:pPr>
              <w:keepNext w:val="0"/>
              <w:spacing w:after="80" w:before="80"/>
            </w:pPr>
            <w:r>
              <w:rPr>
                <w:b w:val="0"/>
                <w:sz w:val="18"/>
              </w:rPr>
            </w:r>
            <w:sdt>
              <w:sdtPr>
                <w:id w:val="72"/>
                <w:tag w:val="combo:choice:72"/>
                <w:alias w:val="Choose or edit"/>
                <w:rPr>
                  <w:highlight w:val="yellow"/>
                </w:rPr>
                <w:comboBox w:lastValue="Diversions, Turn-backs, In-flight shutdowns, Rejected take-offs">
                  <w:listItem w:value="Diversions, Turn-backs, In-flight shutdowns, Rejected take-offs" w:displayText="Diversions, Turn-backs, In-flight shutdowns, Rejected take-offs"/>
                  <w:listItem w:value="Diversions, Turn-backs, In-flight shutdowns, Rejected take-offs, Cancellations" w:displayText="Diversions, Turn-backs, In-flight shutdowns, Rejected take-offs, Cancellations"/>
                  <w:listItem w:value="None" w:displayText="None"/>
                </w:comboBox>
              </w:sdtPr>
              <w:sdtContent>
                <w:r>
                  <w:rPr>
                    <w:highlight w:val="yellow"/>
                  </w:rPr>
                  <w:t xml:space="preserve">Diversions, Turn-backs, In-flight shutdowns, Rejected take-offs</w:t>
                </w:r>
              </w:sdtContent>
            </w:sdt>
          </w:p>
        </w:tc>
      </w:tr>
      <w:tr>
        <w:trPr>
          <w:cantSplit/>
        </w:trPr>
        <w:tc>
          <w:tcPr>
            <w:tcW w:type="dxa" w:w="3231"/>
          </w:tcPr>
          <w:p>
            <w:pPr>
              <w:keepNext w:val="0"/>
              <w:spacing w:after="80" w:before="80"/>
            </w:pPr>
            <w:r>
              <w:rPr>
                <w:b w:val="0"/>
                <w:sz w:val="18"/>
              </w:rPr>
              <w:t>Repetitive defect</w:t>
            </w:r>
          </w:p>
        </w:tc>
        <w:tc>
          <w:tcPr>
            <w:tcW w:type="dxa" w:w="6406"/>
          </w:tcPr>
          <w:p>
            <w:pPr>
              <w:keepNext w:val="0"/>
              <w:spacing w:after="80" w:before="80"/>
            </w:pPr>
            <w:r>
              <w:rPr>
                <w:b w:val="0"/>
                <w:sz w:val="18"/>
              </w:rPr>
            </w:r>
            <w:sdt>
              <w:sdtPr>
                <w:id w:val="73"/>
                <w:tag w:val="combo:choice:73"/>
                <w:alias w:val="Choose or edit"/>
                <w:rPr>
                  <w:highlight w:val="yellow"/>
                </w:rPr>
                <w:comboBox w:lastValue="3 times within 10 flight cycles or 15 days, whichever comes first">
                  <w:listItem w:value="3 times within 10 flight cycles or 15 days, whichever comes first" w:displayText="3 times within 10 flight cycles or 15 days, whichever comes first"/>
                  <w:listItem w:value="3 times within 15 days" w:displayText="3 times within 15 days"/>
                  <w:listItem w:value="3 times within 20 flight hours or 15 days, whichever comes first" w:displayText="3 times within 20 flight hours or 15 days, whichever comes first"/>
                </w:comboBox>
              </w:sdtPr>
              <w:sdtContent>
                <w:r>
                  <w:rPr>
                    <w:highlight w:val="yellow"/>
                  </w:rPr>
                  <w:t xml:space="preserve">3 times within 10 flight cycles or 15 days, whichever comes first</w:t>
                </w:r>
              </w:sdtContent>
            </w:sdt>
          </w:p>
        </w:tc>
      </w:tr>
      <w:tr>
        <w:trPr>
          <w:cantSplit/>
        </w:trPr>
        <w:tc>
          <w:tcPr>
            <w:tcW w:type="dxa" w:w="3231"/>
          </w:tcPr>
          <w:p>
            <w:pPr>
              <w:keepNext w:val="0"/>
              <w:spacing w:after="80" w:before="80"/>
            </w:pPr>
            <w:r>
              <w:rPr>
                <w:b w:val="0"/>
                <w:sz w:val="18"/>
              </w:rPr>
              <w:t>Repetitive defect match</w:t>
            </w:r>
          </w:p>
        </w:tc>
        <w:tc>
          <w:tcPr>
            <w:tcW w:type="dxa" w:w="6406"/>
          </w:tcPr>
          <w:p>
            <w:pPr>
              <w:keepNext w:val="0"/>
              <w:spacing w:after="80" w:before="80"/>
            </w:pPr>
            <w:r>
              <w:rPr>
                <w:b w:val="0"/>
                <w:sz w:val="18"/>
              </w:rPr>
            </w:r>
            <w:sdt>
              <w:sdtPr>
                <w:id w:val="74"/>
                <w:tag w:val="pick:choice:74"/>
                <w:alias w:val="Choose or edit"/>
                <w:rPr>
                  <w:highlight w:val="yellow"/>
                </w:rPr>
                <w:dropDownList w:lastValue="Same aircraft and ATA sub-chapter">
                  <w:listItem w:value="Same aircraft and ATA sub-chapter" w:displayText="Same aircraft and ATA sub-chapter"/>
                  <w:listItem w:value="Same aircraft and ATA chapter" w:displayText="Same aircraft and ATA chapter"/>
                </w:dropDownList>
              </w:sdtPr>
              <w:sdtContent>
                <w:r>
                  <w:rPr>
                    <w:highlight w:val="yellow"/>
                  </w:rPr>
                  <w:t xml:space="preserve">Same aircraft and ATA sub-chapter</w:t>
                </w:r>
              </w:sdtContent>
            </w:sdt>
          </w:p>
        </w:tc>
      </w:tr>
      <w:tr>
        <w:trPr>
          <w:cantSplit/>
        </w:trPr>
        <w:tc>
          <w:tcPr>
            <w:tcW w:type="dxa" w:w="3231"/>
          </w:tcPr>
          <w:p>
            <w:pPr>
              <w:keepNext w:val="0"/>
              <w:spacing w:after="80" w:before="80"/>
            </w:pPr>
            <w:r>
              <w:rPr>
                <w:b w:val="0"/>
                <w:sz w:val="18"/>
              </w:rPr>
              <w:t>Chart length</w:t>
            </w:r>
          </w:p>
        </w:tc>
        <w:tc>
          <w:tcPr>
            <w:tcW w:type="dxa" w:w="6406"/>
          </w:tcPr>
          <w:p>
            <w:pPr>
              <w:keepNext w:val="0"/>
              <w:spacing w:after="80" w:before="80"/>
            </w:pPr>
            <w:r>
              <w:rPr>
                <w:b w:val="0"/>
                <w:sz w:val="18"/>
              </w:rPr>
            </w:r>
            <w:sdt>
              <w:sdtPr>
                <w:id w:val="75"/>
                <w:tag w:val="combo:choice:75"/>
                <w:alias w:val="Choose or edit"/>
                <w:rPr>
                  <w:highlight w:val="yellow"/>
                </w:rPr>
                <w:comboBox w:lastValue="24 months">
                  <w:listItem w:value="24 months" w:displayText="24 months"/>
                  <w:listItem w:value="12 months" w:displayText="12 months"/>
                  <w:listItem w:value="36 months" w:displayText="36 months"/>
                </w:comboBox>
              </w:sdtPr>
              <w:sdtContent>
                <w:r>
                  <w:rPr>
                    <w:highlight w:val="yellow"/>
                  </w:rPr>
                  <w:t xml:space="preserve">24 months</w:t>
                </w:r>
              </w:sdtContent>
            </w:sdt>
          </w:p>
        </w:tc>
      </w:tr>
      <w:tr>
        <w:trPr>
          <w:cantSplit/>
        </w:trPr>
        <w:tc>
          <w:tcPr>
            <w:tcW w:type="dxa" w:w="3231"/>
          </w:tcPr>
          <w:p>
            <w:pPr>
              <w:keepNext w:val="0"/>
              <w:spacing w:after="80" w:before="80"/>
            </w:pPr>
            <w:r>
              <w:rPr>
                <w:b w:val="0"/>
                <w:sz w:val="18"/>
              </w:rPr>
              <w:t>Component reliability</w:t>
            </w:r>
          </w:p>
        </w:tc>
        <w:tc>
          <w:tcPr>
            <w:tcW w:type="dxa" w:w="6406"/>
          </w:tcPr>
          <w:p>
            <w:pPr>
              <w:keepNext w:val="0"/>
              <w:spacing w:after="80" w:before="80"/>
            </w:pPr>
            <w:r>
              <w:rPr>
                <w:b w:val="0"/>
                <w:sz w:val="18"/>
              </w:rPr>
            </w:r>
            <w:sdt>
              <w:sdtPr>
                <w:id w:val="76"/>
                <w:tag w:val="pick:choice:76"/>
                <w:alias w:val="Choose or edit"/>
                <w:rPr>
                  <w:highlight w:val="yellow"/>
                </w:rPr>
                <w:dropDownList w:lastValue="Not included">
                  <w:listItem w:value="Not included" w:displayText="Not included"/>
                  <w:listItem w:value="Included" w:displayText="Included"/>
                </w:dropDownList>
              </w:sdtPr>
              <w:sdtContent>
                <w:r>
                  <w:rPr>
                    <w:highlight w:val="yellow"/>
                  </w:rPr>
                  <w:t xml:space="preserve">Not included</w:t>
                </w:r>
              </w:sdtContent>
            </w:sdt>
          </w:p>
        </w:tc>
      </w:tr>
      <w:tr>
        <w:trPr>
          <w:cantSplit/>
        </w:trPr>
        <w:tc>
          <w:tcPr>
            <w:tcW w:type="dxa" w:w="3231"/>
          </w:tcPr>
          <w:p>
            <w:pPr>
              <w:keepNext w:val="0"/>
              <w:spacing w:after="80" w:before="80"/>
            </w:pPr>
            <w:r>
              <w:rPr>
                <w:b w:val="0"/>
                <w:sz w:val="18"/>
              </w:rPr>
              <w:t>Rogue unit</w:t>
            </w:r>
          </w:p>
        </w:tc>
        <w:tc>
          <w:tcPr>
            <w:tcW w:type="dxa" w:w="6406"/>
          </w:tcPr>
          <w:p>
            <w:pPr>
              <w:keepNext w:val="0"/>
              <w:spacing w:after="80" w:before="80"/>
            </w:pPr>
            <w:r>
              <w:rPr>
                <w:b w:val="0"/>
                <w:sz w:val="18"/>
              </w:rPr>
            </w:r>
            <w:sdt>
              <w:sdtPr>
                <w:id w:val="77"/>
                <w:tag w:val="combo:choice:77"/>
                <w:alias w:val="Choose or edit"/>
                <w:rPr>
                  <w:highlight w:val="yellow"/>
                </w:rPr>
                <w:comboBox w:lastValue="2 unscheduled removals of the same serial number within 12 months">
                  <w:listItem w:value="2 unscheduled removals of the same serial number within 12 months" w:displayText="2 unscheduled removals of the same serial number within 12 months"/>
                  <w:listItem w:value="3 unscheduled removals of the same serial number within 12 months" w:displayText="3 unscheduled removals of the same serial number within 12 months"/>
                </w:comboBox>
              </w:sdtPr>
              <w:sdtContent>
                <w:r>
                  <w:rPr>
                    <w:highlight w:val="yellow"/>
                  </w:rPr>
                  <w:t xml:space="preserve">2 unscheduled removals of the same serial number within 12 months</w:t>
                </w:r>
              </w:sdtContent>
            </w:sdt>
          </w:p>
        </w:tc>
      </w:tr>
      <w:tr>
        <w:trPr>
          <w:cantSplit/>
        </w:trPr>
        <w:tc>
          <w:tcPr>
            <w:tcW w:type="dxa" w:w="3231"/>
          </w:tcPr>
          <w:p>
            <w:pPr>
              <w:keepNext w:val="0"/>
              <w:spacing w:after="80" w:before="80"/>
            </w:pPr>
            <w:r>
              <w:rPr>
                <w:b w:val="0"/>
                <w:sz w:val="18"/>
              </w:rPr>
              <w:t>Task effectiveness</w:t>
            </w:r>
          </w:p>
        </w:tc>
        <w:tc>
          <w:tcPr>
            <w:tcW w:type="dxa" w:w="6406"/>
          </w:tcPr>
          <w:p>
            <w:pPr>
              <w:keepNext w:val="0"/>
              <w:spacing w:after="80" w:before="80"/>
            </w:pPr>
            <w:r>
              <w:rPr>
                <w:b w:val="0"/>
                <w:sz w:val="18"/>
              </w:rPr>
            </w:r>
            <w:sdt>
              <w:sdtPr>
                <w:id w:val="78"/>
                <w:tag w:val="pick:choice:78"/>
                <w:alias w:val="Choose or edit"/>
                <w:rPr>
                  <w:highlight w:val="yellow"/>
                </w:rPr>
                <w:dropDownList w:lastValue="Included">
                  <w:listItem w:value="Included" w:displayText="Included"/>
                  <w:listItem w:value="Not included" w:displayText="Not included"/>
                </w:dropDownList>
              </w:sdtPr>
              <w:sdtContent>
                <w:r>
                  <w:rPr>
                    <w:highlight w:val="yellow"/>
                  </w:rPr>
                  <w:t xml:space="preserve">Included</w:t>
                </w:r>
              </w:sdtContent>
            </w:sdt>
          </w:p>
        </w:tc>
      </w:tr>
    </w:tbl>
    <w:p>
      <w:r>
        <w:t>The reference table gives the accepted forms, including examples for editable number and rule fields.</w:t>
      </w:r>
    </w:p>
    <w:tbl>
      <w:tblPr>
        <w:tblStyle w:val="TableGrid"/>
        <w:tblW w:type="auto" w:w="0"/>
        <w:tblLayout w:type="fixed"/>
        <w:tblLook w:firstColumn="1" w:firstRow="1" w:lastColumn="0" w:lastRow="0" w:noHBand="0" w:noVBand="1" w:val="04A0"/>
      </w:tblPr>
      <w:tblGrid>
        <w:gridCol w:w="1814"/>
        <w:gridCol w:w="2778"/>
        <w:gridCol w:w="3061"/>
        <w:gridCol w:w="1984"/>
      </w:tblGrid>
      <w:tr>
        <w:trPr>
          <w:cantSplit/>
          <w:tblHeader/>
        </w:trPr>
        <w:tc>
          <w:tcPr>
            <w:tcW w:type="dxa" w:w="1814"/>
            <w:shd w:fill="E5EEF0"/>
          </w:tcPr>
          <w:p>
            <w:pPr>
              <w:keepNext/>
              <w:spacing w:after="80" w:before="80"/>
            </w:pPr>
            <w:r>
              <w:rPr>
                <w:b/>
                <w:sz w:val="18"/>
              </w:rPr>
              <w:t>Setting</w:t>
            </w:r>
          </w:p>
        </w:tc>
        <w:tc>
          <w:tcPr>
            <w:tcW w:type="dxa" w:w="2778"/>
            <w:shd w:fill="E5EEF0"/>
          </w:tcPr>
          <w:p>
            <w:pPr>
              <w:keepNext/>
              <w:spacing w:after="80" w:before="80"/>
            </w:pPr>
            <w:r>
              <w:rPr>
                <w:b/>
                <w:sz w:val="18"/>
              </w:rPr>
              <w:t>What it means</w:t>
            </w:r>
          </w:p>
        </w:tc>
        <w:tc>
          <w:tcPr>
            <w:tcW w:type="dxa" w:w="3061"/>
            <w:shd w:fill="E5EEF0"/>
          </w:tcPr>
          <w:p>
            <w:pPr>
              <w:keepNext/>
              <w:spacing w:after="80" w:before="80"/>
            </w:pPr>
            <w:r>
              <w:rPr>
                <w:b/>
                <w:sz w:val="18"/>
              </w:rPr>
              <w:t>Accepted forms</w:t>
            </w:r>
          </w:p>
        </w:tc>
        <w:tc>
          <w:tcPr>
            <w:tcW w:type="dxa" w:w="1984"/>
            <w:shd w:fill="E5EEF0"/>
          </w:tcPr>
          <w:p>
            <w:pPr>
              <w:keepNext/>
              <w:spacing w:after="80" w:before="80"/>
            </w:pPr>
            <w:r>
              <w:rPr>
                <w:b/>
                <w:sz w:val="18"/>
              </w:rPr>
              <w:t>Example</w:t>
            </w:r>
          </w:p>
        </w:tc>
      </w:tr>
      <w:tr>
        <w:trPr>
          <w:cantSplit/>
        </w:trPr>
        <w:tc>
          <w:tcPr>
            <w:tcW w:type="dxa" w:w="1814"/>
          </w:tcPr>
          <w:p>
            <w:pPr>
              <w:keepNext w:val="0"/>
              <w:spacing w:after="80" w:before="80"/>
            </w:pPr>
            <w:r>
              <w:rPr>
                <w:b w:val="0"/>
                <w:sz w:val="18"/>
              </w:rPr>
              <w:t>Organisation</w:t>
            </w:r>
          </w:p>
        </w:tc>
        <w:tc>
          <w:tcPr>
            <w:tcW w:type="dxa" w:w="2778"/>
          </w:tcPr>
          <w:p>
            <w:pPr>
              <w:keepNext w:val="0"/>
              <w:spacing w:after="80" w:before="80"/>
            </w:pPr>
            <w:r>
              <w:rPr>
                <w:b w:val="0"/>
                <w:sz w:val="18"/>
              </w:rPr>
              <w:t>The organisation responsible for this programme.</w:t>
            </w:r>
          </w:p>
        </w:tc>
        <w:tc>
          <w:tcPr>
            <w:tcW w:type="dxa" w:w="3061"/>
          </w:tcPr>
          <w:p>
            <w:pPr>
              <w:keepNext w:val="0"/>
              <w:spacing w:after="80" w:before="80"/>
            </w:pPr>
            <w:r>
              <w:rPr>
                <w:b w:val="0"/>
                <w:sz w:val="18"/>
              </w:rPr>
              <w:t>organisation name (non-empty text)</w:t>
            </w:r>
          </w:p>
        </w:tc>
        <w:tc>
          <w:tcPr>
            <w:tcW w:type="dxa" w:w="1984"/>
          </w:tcPr>
          <w:p>
            <w:pPr>
              <w:keepNext w:val="0"/>
              <w:spacing w:after="80" w:before="80"/>
            </w:pPr>
            <w:r>
              <w:rPr>
                <w:b w:val="0"/>
                <w:sz w:val="18"/>
              </w:rPr>
              <w:t>ExampleCAMO</w:t>
            </w:r>
          </w:p>
        </w:tc>
      </w:tr>
      <w:tr>
        <w:trPr>
          <w:cantSplit/>
        </w:trPr>
        <w:tc>
          <w:tcPr>
            <w:tcW w:type="dxa" w:w="1814"/>
          </w:tcPr>
          <w:p>
            <w:pPr>
              <w:keepNext w:val="0"/>
              <w:spacing w:after="80" w:before="80"/>
            </w:pPr>
            <w:r>
              <w:rPr>
                <w:b w:val="0"/>
                <w:sz w:val="18"/>
              </w:rPr>
              <w:t>Aircraft type</w:t>
            </w:r>
          </w:p>
        </w:tc>
        <w:tc>
          <w:tcPr>
            <w:tcW w:type="dxa" w:w="2778"/>
          </w:tcPr>
          <w:p>
            <w:pPr>
              <w:keepNext w:val="0"/>
              <w:spacing w:after="80" w:before="80"/>
            </w:pPr>
            <w:r>
              <w:rPr>
                <w:b w:val="0"/>
                <w:sz w:val="18"/>
              </w:rPr>
              <w:t>The single aircraft type covered by this document; the Fleet table uses the same Type.</w:t>
            </w:r>
          </w:p>
        </w:tc>
        <w:tc>
          <w:tcPr>
            <w:tcW w:type="dxa" w:w="3061"/>
          </w:tcPr>
          <w:p>
            <w:pPr>
              <w:keepNext w:val="0"/>
              <w:spacing w:after="80" w:before="80"/>
            </w:pPr>
            <w:r>
              <w:rPr>
                <w:b w:val="0"/>
                <w:sz w:val="18"/>
              </w:rPr>
              <w:t>aircraft type (non-empty text)</w:t>
            </w:r>
          </w:p>
        </w:tc>
        <w:tc>
          <w:tcPr>
            <w:tcW w:type="dxa" w:w="1984"/>
          </w:tcPr>
          <w:p>
            <w:pPr>
              <w:keepNext w:val="0"/>
              <w:spacing w:after="80" w:before="80"/>
            </w:pPr>
            <w:r>
              <w:rPr>
                <w:b w:val="0"/>
                <w:sz w:val="18"/>
              </w:rPr>
              <w:t>Example Type 42</w:t>
            </w:r>
          </w:p>
        </w:tc>
      </w:tr>
      <w:tr>
        <w:trPr>
          <w:cantSplit/>
        </w:trPr>
        <w:tc>
          <w:tcPr>
            <w:tcW w:type="dxa" w:w="1814"/>
          </w:tcPr>
          <w:p>
            <w:pPr>
              <w:keepNext w:val="0"/>
              <w:spacing w:after="80" w:before="80"/>
            </w:pPr>
            <w:r>
              <w:rPr>
                <w:b w:val="0"/>
                <w:sz w:val="18"/>
              </w:rPr>
              <w:t>Report period</w:t>
            </w:r>
          </w:p>
        </w:tc>
        <w:tc>
          <w:tcPr>
            <w:tcW w:type="dxa" w:w="2778"/>
          </w:tcPr>
          <w:p>
            <w:pPr>
              <w:keepNext w:val="0"/>
              <w:spacing w:after="80" w:before="80"/>
            </w:pPr>
            <w:r>
              <w:rPr>
                <w:b w:val="0"/>
                <w:sz w:val="18"/>
              </w:rPr>
              <w:t>The period covered by each routine report; section 14 sets the delivery deadline.</w:t>
            </w:r>
          </w:p>
        </w:tc>
        <w:tc>
          <w:tcPr>
            <w:tcW w:type="dxa" w:w="3061"/>
          </w:tcPr>
          <w:p>
            <w:pPr>
              <w:keepNext w:val="0"/>
              <w:spacing w:after="80" w:before="80"/>
            </w:pPr>
            <w:r>
              <w:rPr>
                <w:b w:val="0"/>
                <w:sz w:val="18"/>
              </w:rPr>
              <w:t>Monthly / Quarterly / Half-yearly / Yearly</w:t>
            </w:r>
          </w:p>
        </w:tc>
        <w:tc>
          <w:tcPr>
            <w:tcW w:type="dxa" w:w="1984"/>
          </w:tcPr>
          <w:p>
            <w:pPr>
              <w:keepNext w:val="0"/>
              <w:spacing w:after="80" w:before="80"/>
            </w:pPr>
            <w:r>
              <w:rPr>
                <w:b w:val="0"/>
                <w:sz w:val="18"/>
              </w:rPr>
              <w:t>Quarterly</w:t>
            </w:r>
          </w:p>
        </w:tc>
      </w:tr>
      <w:tr>
        <w:trPr>
          <w:cantSplit/>
        </w:trPr>
        <w:tc>
          <w:tcPr>
            <w:tcW w:type="dxa" w:w="1814"/>
          </w:tcPr>
          <w:p>
            <w:pPr>
              <w:keepNext w:val="0"/>
              <w:spacing w:after="80" w:before="80"/>
            </w:pPr>
            <w:r>
              <w:rPr>
                <w:b w:val="0"/>
                <w:sz w:val="18"/>
              </w:rPr>
              <w:t>Alert level method</w:t>
            </w:r>
          </w:p>
        </w:tc>
        <w:tc>
          <w:tcPr>
            <w:tcW w:type="dxa" w:w="2778"/>
          </w:tcPr>
          <w:p>
            <w:pPr>
              <w:keepNext w:val="0"/>
              <w:spacing w:after="80" w:before="80"/>
            </w:pPr>
            <w:r>
              <w:rPr>
                <w:b w:val="0"/>
                <w:sz w:val="18"/>
              </w:rPr>
              <w:t>The calculation for proposed levels, or the choice to use approved levels only.</w:t>
            </w:r>
          </w:p>
        </w:tc>
        <w:tc>
          <w:tcPr>
            <w:tcW w:type="dxa" w:w="3061"/>
          </w:tcPr>
          <w:p>
            <w:pPr>
              <w:keepNext w:val="0"/>
              <w:spacing w:after="80" w:before="80"/>
            </w:pPr>
            <w:r>
              <w:rPr>
                <w:b w:val="0"/>
                <w:sz w:val="18"/>
              </w:rPr>
              <w:t>Mean plus N standard deviations (N from 1 to 4, e.g. 2, 2.5 or 3) / Approved alert levels only</w:t>
            </w:r>
          </w:p>
        </w:tc>
        <w:tc>
          <w:tcPr>
            <w:tcW w:type="dxa" w:w="1984"/>
          </w:tcPr>
          <w:p>
            <w:pPr>
              <w:keepNext w:val="0"/>
              <w:spacing w:after="80" w:before="80"/>
            </w:pPr>
            <w:r>
              <w:rPr>
                <w:b w:val="0"/>
                <w:sz w:val="18"/>
              </w:rPr>
              <w:t>Mean plus 3 standard deviations</w:t>
            </w:r>
          </w:p>
        </w:tc>
      </w:tr>
      <w:tr>
        <w:trPr>
          <w:cantSplit/>
        </w:trPr>
        <w:tc>
          <w:tcPr>
            <w:tcW w:type="dxa" w:w="1814"/>
          </w:tcPr>
          <w:p>
            <w:pPr>
              <w:keepNext w:val="0"/>
              <w:spacing w:after="80" w:before="80"/>
            </w:pPr>
            <w:r>
              <w:rPr>
                <w:b w:val="0"/>
                <w:sz w:val="18"/>
              </w:rPr>
              <w:t>Standard deviation</w:t>
            </w:r>
          </w:p>
        </w:tc>
        <w:tc>
          <w:tcPr>
            <w:tcW w:type="dxa" w:w="2778"/>
          </w:tcPr>
          <w:p>
            <w:pPr>
              <w:keepNext w:val="0"/>
              <w:spacing w:after="80" w:before="80"/>
            </w:pPr>
            <w:r>
              <w:rPr>
                <w:b w:val="0"/>
                <w:sz w:val="18"/>
              </w:rPr>
              <w:t>The measure of spread: sample divides by n − 1; population divides by n.</w:t>
            </w:r>
          </w:p>
        </w:tc>
        <w:tc>
          <w:tcPr>
            <w:tcW w:type="dxa" w:w="3061"/>
          </w:tcPr>
          <w:p>
            <w:pPr>
              <w:keepNext w:val="0"/>
              <w:spacing w:after="80" w:before="80"/>
            </w:pPr>
            <w:r>
              <w:rPr>
                <w:b w:val="0"/>
                <w:sz w:val="18"/>
              </w:rPr>
              <w:t>Sample (n − 1) / Population (n)</w:t>
            </w:r>
          </w:p>
        </w:tc>
        <w:tc>
          <w:tcPr>
            <w:tcW w:type="dxa" w:w="1984"/>
          </w:tcPr>
          <w:p>
            <w:pPr>
              <w:keepNext w:val="0"/>
              <w:spacing w:after="80" w:before="80"/>
            </w:pPr>
            <w:r>
              <w:rPr>
                <w:b w:val="0"/>
                <w:sz w:val="18"/>
              </w:rPr>
              <w:t>Sample (n − 1)</w:t>
            </w:r>
          </w:p>
        </w:tc>
      </w:tr>
      <w:tr>
        <w:trPr>
          <w:cantSplit/>
        </w:trPr>
        <w:tc>
          <w:tcPr>
            <w:tcW w:type="dxa" w:w="1814"/>
          </w:tcPr>
          <w:p>
            <w:pPr>
              <w:keepNext w:val="0"/>
              <w:spacing w:after="80" w:before="80"/>
            </w:pPr>
            <w:r>
              <w:rPr>
                <w:b w:val="0"/>
                <w:sz w:val="18"/>
              </w:rPr>
              <w:t>Running rate</w:t>
            </w:r>
          </w:p>
        </w:tc>
        <w:tc>
          <w:tcPr>
            <w:tcW w:type="dxa" w:w="2778"/>
          </w:tcPr>
          <w:p>
            <w:pPr>
              <w:keepNext w:val="0"/>
              <w:spacing w:after="80" w:before="80"/>
            </w:pPr>
            <w:r>
              <w:rPr>
                <w:b w:val="0"/>
                <w:sz w:val="18"/>
              </w:rPr>
              <w:t>The number of consecutive months of entries and exposure used for each running rate.</w:t>
            </w:r>
          </w:p>
        </w:tc>
        <w:tc>
          <w:tcPr>
            <w:tcW w:type="dxa" w:w="3061"/>
          </w:tcPr>
          <w:p>
            <w:pPr>
              <w:keepNext w:val="0"/>
              <w:spacing w:after="80" w:before="80"/>
            </w:pPr>
            <w:r>
              <w:rPr>
                <w:b w:val="0"/>
                <w:sz w:val="18"/>
              </w:rPr>
              <w:t>N months (N = 1, 3, 6 or 12)</w:t>
            </w:r>
          </w:p>
        </w:tc>
        <w:tc>
          <w:tcPr>
            <w:tcW w:type="dxa" w:w="1984"/>
          </w:tcPr>
          <w:p>
            <w:pPr>
              <w:keepNext w:val="0"/>
              <w:spacing w:after="80" w:before="80"/>
            </w:pPr>
            <w:r>
              <w:rPr>
                <w:b w:val="0"/>
                <w:sz w:val="18"/>
              </w:rPr>
              <w:t>3 months</w:t>
            </w:r>
          </w:p>
        </w:tc>
      </w:tr>
      <w:tr>
        <w:trPr>
          <w:cantSplit/>
        </w:trPr>
        <w:tc>
          <w:tcPr>
            <w:tcW w:type="dxa" w:w="1814"/>
          </w:tcPr>
          <w:p>
            <w:pPr>
              <w:keepNext w:val="0"/>
              <w:spacing w:after="80" w:before="80"/>
            </w:pPr>
            <w:r>
              <w:rPr>
                <w:b w:val="0"/>
                <w:sz w:val="18"/>
              </w:rPr>
              <w:t>Baseline</w:t>
            </w:r>
          </w:p>
        </w:tc>
        <w:tc>
          <w:tcPr>
            <w:tcW w:type="dxa" w:w="2778"/>
          </w:tcPr>
          <w:p>
            <w:pPr>
              <w:keepNext w:val="0"/>
              <w:spacing w:after="80" w:before="80"/>
            </w:pPr>
            <w:r>
              <w:rPr>
                <w:b w:val="0"/>
                <w:sz w:val="18"/>
              </w:rPr>
              <w:t>The fixed period of monthly running-rate observations used to propose levels.</w:t>
            </w:r>
          </w:p>
        </w:tc>
        <w:tc>
          <w:tcPr>
            <w:tcW w:type="dxa" w:w="3061"/>
          </w:tcPr>
          <w:p>
            <w:pPr>
              <w:keepNext w:val="0"/>
              <w:spacing w:after="80" w:before="80"/>
            </w:pPr>
            <w:r>
              <w:rPr>
                <w:b w:val="0"/>
                <w:sz w:val="18"/>
              </w:rPr>
              <w:t>N months before the alert levels take effect (whole N from 12 to 36)</w:t>
            </w:r>
          </w:p>
        </w:tc>
        <w:tc>
          <w:tcPr>
            <w:tcW w:type="dxa" w:w="1984"/>
          </w:tcPr>
          <w:p>
            <w:pPr>
              <w:keepNext w:val="0"/>
              <w:spacing w:after="80" w:before="80"/>
            </w:pPr>
            <w:r>
              <w:rPr>
                <w:b w:val="0"/>
                <w:sz w:val="18"/>
              </w:rPr>
              <w:t>24 months before the alert levels take effect</w:t>
            </w:r>
          </w:p>
        </w:tc>
      </w:tr>
      <w:tr>
        <w:trPr>
          <w:cantSplit/>
        </w:trPr>
        <w:tc>
          <w:tcPr>
            <w:tcW w:type="dxa" w:w="1814"/>
          </w:tcPr>
          <w:p>
            <w:pPr>
              <w:keepNext w:val="0"/>
              <w:spacing w:after="80" w:before="80"/>
            </w:pPr>
            <w:r>
              <w:rPr>
                <w:b w:val="0"/>
                <w:sz w:val="18"/>
              </w:rPr>
              <w:t>Alert levels revised</w:t>
            </w:r>
          </w:p>
        </w:tc>
        <w:tc>
          <w:tcPr>
            <w:tcW w:type="dxa" w:w="2778"/>
          </w:tcPr>
          <w:p>
            <w:pPr>
              <w:keepNext w:val="0"/>
              <w:spacing w:after="80" w:before="80"/>
            </w:pPr>
            <w:r>
              <w:rPr>
                <w:b w:val="0"/>
                <w:sz w:val="18"/>
              </w:rPr>
              <w:t>The scheduled revision cycle and the first month in which new levels apply.</w:t>
            </w:r>
          </w:p>
        </w:tc>
        <w:tc>
          <w:tcPr>
            <w:tcW w:type="dxa" w:w="3061"/>
          </w:tcPr>
          <w:p>
            <w:pPr>
              <w:keepNext w:val="0"/>
              <w:spacing w:after="80" w:before="80"/>
            </w:pPr>
            <w:r>
              <w:rPr>
                <w:b w:val="0"/>
                <w:sz w:val="18"/>
              </w:rPr>
              <w:t>Every N months, effective 1 Month (N = 6 or 12; the month name is written in full, e.g. January)</w:t>
            </w:r>
          </w:p>
        </w:tc>
        <w:tc>
          <w:tcPr>
            <w:tcW w:type="dxa" w:w="1984"/>
          </w:tcPr>
          <w:p>
            <w:pPr>
              <w:keepNext w:val="0"/>
              <w:spacing w:after="80" w:before="80"/>
            </w:pPr>
            <w:r>
              <w:rPr>
                <w:b w:val="0"/>
                <w:sz w:val="18"/>
              </w:rPr>
              <w:t>Every 12 months, effective 1 January</w:t>
            </w:r>
          </w:p>
        </w:tc>
      </w:tr>
      <w:tr>
        <w:trPr>
          <w:cantSplit/>
        </w:trPr>
        <w:tc>
          <w:tcPr>
            <w:tcW w:type="dxa" w:w="1814"/>
          </w:tcPr>
          <w:p>
            <w:pPr>
              <w:keepNext w:val="0"/>
              <w:spacing w:after="80" w:before="80"/>
            </w:pPr>
            <w:r>
              <w:rPr>
                <w:b w:val="0"/>
                <w:sz w:val="18"/>
              </w:rPr>
              <w:t>Interim alert level</w:t>
            </w:r>
          </w:p>
        </w:tc>
        <w:tc>
          <w:tcPr>
            <w:tcW w:type="dxa" w:w="2778"/>
          </w:tcPr>
          <w:p>
            <w:pPr>
              <w:keepNext w:val="0"/>
              <w:spacing w:after="80" w:before="80"/>
            </w:pPr>
            <w:r>
              <w:rPr>
                <w:b w:val="0"/>
                <w:sz w:val="18"/>
              </w:rPr>
              <w:t>The minimum number of complete baseline observations before a calculated level loses its interim label.</w:t>
            </w:r>
          </w:p>
        </w:tc>
        <w:tc>
          <w:tcPr>
            <w:tcW w:type="dxa" w:w="3061"/>
          </w:tcPr>
          <w:p>
            <w:pPr>
              <w:keepNext w:val="0"/>
              <w:spacing w:after="80" w:before="80"/>
            </w:pPr>
            <w:r>
              <w:rPr>
                <w:b w:val="0"/>
                <w:sz w:val="18"/>
              </w:rPr>
              <w:t>Fewer than N months of data (whole N from 6 to 24)</w:t>
            </w:r>
          </w:p>
        </w:tc>
        <w:tc>
          <w:tcPr>
            <w:tcW w:type="dxa" w:w="1984"/>
          </w:tcPr>
          <w:p>
            <w:pPr>
              <w:keepNext w:val="0"/>
              <w:spacing w:after="80" w:before="80"/>
            </w:pPr>
            <w:r>
              <w:rPr>
                <w:b w:val="0"/>
                <w:sz w:val="18"/>
              </w:rPr>
              <w:t>Fewer than 12 months of data</w:t>
            </w:r>
          </w:p>
        </w:tc>
      </w:tr>
      <w:tr>
        <w:trPr>
          <w:cantSplit/>
        </w:trPr>
        <w:tc>
          <w:tcPr>
            <w:tcW w:type="dxa" w:w="1814"/>
          </w:tcPr>
          <w:p>
            <w:pPr>
              <w:keepNext w:val="0"/>
              <w:spacing w:after="80" w:before="80"/>
            </w:pPr>
            <w:r>
              <w:rPr>
                <w:b w:val="0"/>
                <w:sz w:val="18"/>
              </w:rPr>
              <w:t>Minimum entries for an alert</w:t>
            </w:r>
          </w:p>
        </w:tc>
        <w:tc>
          <w:tcPr>
            <w:tcW w:type="dxa" w:w="2778"/>
          </w:tcPr>
          <w:p>
            <w:pPr>
              <w:keepNext w:val="0"/>
              <w:spacing w:after="80" w:before="80"/>
            </w:pPr>
            <w:r>
              <w:rPr>
                <w:b w:val="0"/>
                <w:sz w:val="18"/>
              </w:rPr>
              <w:t>The entry count needed for a statistical alert or reminder; this does not restrict event investigations.</w:t>
            </w:r>
          </w:p>
        </w:tc>
        <w:tc>
          <w:tcPr>
            <w:tcW w:type="dxa" w:w="3061"/>
          </w:tcPr>
          <w:p>
            <w:pPr>
              <w:keepNext w:val="0"/>
              <w:spacing w:after="80" w:before="80"/>
            </w:pPr>
            <w:r>
              <w:rPr>
                <w:b w:val="0"/>
                <w:sz w:val="18"/>
              </w:rPr>
              <w:t>whole number, at least 1</w:t>
            </w:r>
          </w:p>
        </w:tc>
        <w:tc>
          <w:tcPr>
            <w:tcW w:type="dxa" w:w="1984"/>
          </w:tcPr>
          <w:p>
            <w:pPr>
              <w:keepNext w:val="0"/>
              <w:spacing w:after="80" w:before="80"/>
            </w:pPr>
            <w:r>
              <w:rPr>
                <w:b w:val="0"/>
                <w:sz w:val="18"/>
              </w:rPr>
              <w:t>3</w:t>
            </w:r>
          </w:p>
        </w:tc>
      </w:tr>
      <w:tr>
        <w:trPr>
          <w:cantSplit/>
        </w:trPr>
        <w:tc>
          <w:tcPr>
            <w:tcW w:type="dxa" w:w="1814"/>
          </w:tcPr>
          <w:p>
            <w:pPr>
              <w:keepNext w:val="0"/>
              <w:spacing w:after="80" w:before="80"/>
            </w:pPr>
            <w:r>
              <w:rPr>
                <w:b w:val="0"/>
                <w:sz w:val="18"/>
              </w:rPr>
              <w:t>Reminder</w:t>
            </w:r>
          </w:p>
        </w:tc>
        <w:tc>
          <w:tcPr>
            <w:tcW w:type="dxa" w:w="2778"/>
          </w:tcPr>
          <w:p>
            <w:pPr>
              <w:keepNext w:val="0"/>
              <w:spacing w:after="80" w:before="80"/>
            </w:pPr>
            <w:r>
              <w:rPr>
                <w:b w:val="0"/>
                <w:sz w:val="18"/>
              </w:rPr>
              <w:t>An optional early review threshold below the alert level; Not used disables it.</w:t>
            </w:r>
          </w:p>
        </w:tc>
        <w:tc>
          <w:tcPr>
            <w:tcW w:type="dxa" w:w="3061"/>
          </w:tcPr>
          <w:p>
            <w:pPr>
              <w:keepNext w:val="0"/>
              <w:spacing w:after="80" w:before="80"/>
            </w:pPr>
            <w:r>
              <w:rPr>
                <w:b w:val="0"/>
                <w:sz w:val="18"/>
              </w:rPr>
              <w:t>N% of the alert level (N above 0 and below 100; decimals allowed) / Not used</w:t>
            </w:r>
          </w:p>
        </w:tc>
        <w:tc>
          <w:tcPr>
            <w:tcW w:type="dxa" w:w="1984"/>
          </w:tcPr>
          <w:p>
            <w:pPr>
              <w:keepNext w:val="0"/>
              <w:spacing w:after="80" w:before="80"/>
            </w:pPr>
            <w:r>
              <w:rPr>
                <w:b w:val="0"/>
                <w:sz w:val="18"/>
              </w:rPr>
              <w:t>85% of the alert level</w:t>
            </w:r>
          </w:p>
        </w:tc>
      </w:tr>
      <w:tr>
        <w:trPr>
          <w:cantSplit/>
        </w:trPr>
        <w:tc>
          <w:tcPr>
            <w:tcW w:type="dxa" w:w="1814"/>
          </w:tcPr>
          <w:p>
            <w:pPr>
              <w:keepNext w:val="0"/>
              <w:spacing w:after="80" w:before="80"/>
            </w:pPr>
            <w:r>
              <w:rPr>
                <w:b w:val="0"/>
                <w:sz w:val="18"/>
              </w:rPr>
              <w:t>Rate basis: pilot reports</w:t>
            </w:r>
          </w:p>
        </w:tc>
        <w:tc>
          <w:tcPr>
            <w:tcW w:type="dxa" w:w="2778"/>
          </w:tcPr>
          <w:p>
            <w:pPr>
              <w:keepNext w:val="0"/>
              <w:spacing w:after="80" w:before="80"/>
            </w:pPr>
            <w:r>
              <w:rPr>
                <w:b w:val="0"/>
                <w:sz w:val="18"/>
              </w:rPr>
              <w:t>The exposure and multiplier for pilot-report rates.</w:t>
            </w:r>
          </w:p>
        </w:tc>
        <w:tc>
          <w:tcPr>
            <w:tcW w:type="dxa" w:w="3061"/>
          </w:tcPr>
          <w:p>
            <w:pPr>
              <w:keepNext w:val="0"/>
              <w:spacing w:after="80" w:before="80"/>
            </w:pPr>
            <w:r>
              <w:rPr>
                <w:b w:val="0"/>
                <w:sz w:val="18"/>
              </w:rPr>
              <w:t>per N flight hours / per N flight cycles (N = 100 or 1,000)</w:t>
            </w:r>
          </w:p>
        </w:tc>
        <w:tc>
          <w:tcPr>
            <w:tcW w:type="dxa" w:w="1984"/>
          </w:tcPr>
          <w:p>
            <w:pPr>
              <w:keepNext w:val="0"/>
              <w:spacing w:after="80" w:before="80"/>
            </w:pPr>
            <w:r>
              <w:rPr>
                <w:b w:val="0"/>
                <w:sz w:val="18"/>
              </w:rPr>
              <w:t>per 1,000 flight hours</w:t>
            </w:r>
          </w:p>
        </w:tc>
      </w:tr>
      <w:tr>
        <w:trPr>
          <w:cantSplit/>
        </w:trPr>
        <w:tc>
          <w:tcPr>
            <w:tcW w:type="dxa" w:w="1814"/>
          </w:tcPr>
          <w:p>
            <w:pPr>
              <w:keepNext w:val="0"/>
              <w:spacing w:after="80" w:before="80"/>
            </w:pPr>
            <w:r>
              <w:rPr>
                <w:b w:val="0"/>
                <w:sz w:val="18"/>
              </w:rPr>
              <w:t>Rate basis: maintenance reports</w:t>
            </w:r>
          </w:p>
        </w:tc>
        <w:tc>
          <w:tcPr>
            <w:tcW w:type="dxa" w:w="2778"/>
          </w:tcPr>
          <w:p>
            <w:pPr>
              <w:keepNext w:val="0"/>
              <w:spacing w:after="80" w:before="80"/>
            </w:pPr>
            <w:r>
              <w:rPr>
                <w:b w:val="0"/>
                <w:sz w:val="18"/>
              </w:rPr>
              <w:t>The exposure and multiplier for maintenance-report rates.</w:t>
            </w:r>
          </w:p>
        </w:tc>
        <w:tc>
          <w:tcPr>
            <w:tcW w:type="dxa" w:w="3061"/>
          </w:tcPr>
          <w:p>
            <w:pPr>
              <w:keepNext w:val="0"/>
              <w:spacing w:after="80" w:before="80"/>
            </w:pPr>
            <w:r>
              <w:rPr>
                <w:b w:val="0"/>
                <w:sz w:val="18"/>
              </w:rPr>
              <w:t>per N flight hours / per N flight cycles (N = 100 or 1,000)</w:t>
            </w:r>
          </w:p>
        </w:tc>
        <w:tc>
          <w:tcPr>
            <w:tcW w:type="dxa" w:w="1984"/>
          </w:tcPr>
          <w:p>
            <w:pPr>
              <w:keepNext w:val="0"/>
              <w:spacing w:after="80" w:before="80"/>
            </w:pPr>
            <w:r>
              <w:rPr>
                <w:b w:val="0"/>
                <w:sz w:val="18"/>
              </w:rPr>
              <w:t>per 1,000 flight hours</w:t>
            </w:r>
          </w:p>
        </w:tc>
      </w:tr>
      <w:tr>
        <w:trPr>
          <w:cantSplit/>
        </w:trPr>
        <w:tc>
          <w:tcPr>
            <w:tcW w:type="dxa" w:w="1814"/>
          </w:tcPr>
          <w:p>
            <w:pPr>
              <w:keepNext w:val="0"/>
              <w:spacing w:after="80" w:before="80"/>
            </w:pPr>
            <w:r>
              <w:rPr>
                <w:b w:val="0"/>
                <w:sz w:val="18"/>
              </w:rPr>
              <w:t>Rate basis: component removals</w:t>
            </w:r>
          </w:p>
        </w:tc>
        <w:tc>
          <w:tcPr>
            <w:tcW w:type="dxa" w:w="2778"/>
          </w:tcPr>
          <w:p>
            <w:pPr>
              <w:keepNext w:val="0"/>
              <w:spacing w:after="80" w:before="80"/>
            </w:pPr>
            <w:r>
              <w:rPr>
                <w:b w:val="0"/>
                <w:sz w:val="18"/>
              </w:rPr>
              <w:t>The exposure and multiplier for chapter-level removal reports; section 10.5 uses separate unit-hour measures.</w:t>
            </w:r>
          </w:p>
        </w:tc>
        <w:tc>
          <w:tcPr>
            <w:tcW w:type="dxa" w:w="3061"/>
          </w:tcPr>
          <w:p>
            <w:pPr>
              <w:keepNext w:val="0"/>
              <w:spacing w:after="80" w:before="80"/>
            </w:pPr>
            <w:r>
              <w:rPr>
                <w:b w:val="0"/>
                <w:sz w:val="18"/>
              </w:rPr>
              <w:t>per N flight hours / per N flight cycles (N = 100 or 1,000)</w:t>
            </w:r>
          </w:p>
        </w:tc>
        <w:tc>
          <w:tcPr>
            <w:tcW w:type="dxa" w:w="1984"/>
          </w:tcPr>
          <w:p>
            <w:pPr>
              <w:keepNext w:val="0"/>
              <w:spacing w:after="80" w:before="80"/>
            </w:pPr>
            <w:r>
              <w:rPr>
                <w:b w:val="0"/>
                <w:sz w:val="18"/>
              </w:rPr>
              <w:t>per 1,000 flight hours</w:t>
            </w:r>
          </w:p>
        </w:tc>
      </w:tr>
      <w:tr>
        <w:trPr>
          <w:cantSplit/>
        </w:trPr>
        <w:tc>
          <w:tcPr>
            <w:tcW w:type="dxa" w:w="1814"/>
          </w:tcPr>
          <w:p>
            <w:pPr>
              <w:keepNext w:val="0"/>
              <w:spacing w:after="80" w:before="80"/>
            </w:pPr>
            <w:r>
              <w:rPr>
                <w:b w:val="0"/>
                <w:sz w:val="18"/>
              </w:rPr>
              <w:t>Technical delay</w:t>
            </w:r>
          </w:p>
        </w:tc>
        <w:tc>
          <w:tcPr>
            <w:tcW w:type="dxa" w:w="2778"/>
          </w:tcPr>
          <w:p>
            <w:pPr>
              <w:keepNext w:val="0"/>
              <w:spacing w:after="80" w:before="80"/>
            </w:pPr>
            <w:r>
              <w:rPr>
                <w:b w:val="0"/>
                <w:sz w:val="18"/>
              </w:rPr>
              <w:t>The minimum technical delay duration included in delay counts.</w:t>
            </w:r>
          </w:p>
        </w:tc>
        <w:tc>
          <w:tcPr>
            <w:tcW w:type="dxa" w:w="3061"/>
          </w:tcPr>
          <w:p>
            <w:pPr>
              <w:keepNext w:val="0"/>
              <w:spacing w:after="80" w:before="80"/>
            </w:pPr>
            <w:r>
              <w:rPr>
                <w:b w:val="0"/>
                <w:sz w:val="18"/>
              </w:rPr>
              <w:t>N minutes or more (whole N, 0 or more)</w:t>
            </w:r>
          </w:p>
        </w:tc>
        <w:tc>
          <w:tcPr>
            <w:tcW w:type="dxa" w:w="1984"/>
          </w:tcPr>
          <w:p>
            <w:pPr>
              <w:keepNext w:val="0"/>
              <w:spacing w:after="80" w:before="80"/>
            </w:pPr>
            <w:r>
              <w:rPr>
                <w:b w:val="0"/>
                <w:sz w:val="18"/>
              </w:rPr>
              <w:t>15 minutes or more</w:t>
            </w:r>
          </w:p>
        </w:tc>
      </w:tr>
      <w:tr>
        <w:trPr>
          <w:cantSplit/>
        </w:trPr>
        <w:tc>
          <w:tcPr>
            <w:tcW w:type="dxa" w:w="1814"/>
          </w:tcPr>
          <w:p>
            <w:pPr>
              <w:keepNext w:val="0"/>
              <w:spacing w:after="80" w:before="80"/>
            </w:pPr>
            <w:r>
              <w:rPr>
                <w:b w:val="0"/>
                <w:sz w:val="18"/>
              </w:rPr>
              <w:t>Dispatch reliability departures</w:t>
            </w:r>
          </w:p>
        </w:tc>
        <w:tc>
          <w:tcPr>
            <w:tcW w:type="dxa" w:w="2778"/>
          </w:tcPr>
          <w:p>
            <w:pPr>
              <w:keepNext w:val="0"/>
              <w:spacing w:after="80" w:before="80"/>
            </w:pPr>
            <w:r>
              <w:rPr>
                <w:b w:val="0"/>
                <w:sz w:val="18"/>
              </w:rPr>
              <w:t>The departure count used for technical dispatch reliability.</w:t>
            </w:r>
          </w:p>
        </w:tc>
        <w:tc>
          <w:tcPr>
            <w:tcW w:type="dxa" w:w="3061"/>
          </w:tcPr>
          <w:p>
            <w:pPr>
              <w:keepNext w:val="0"/>
              <w:spacing w:after="80" w:before="80"/>
            </w:pPr>
            <w:r>
              <w:rPr>
                <w:b w:val="0"/>
                <w:sz w:val="18"/>
              </w:rPr>
              <w:t>Revenue departures / All departures</w:t>
            </w:r>
          </w:p>
        </w:tc>
        <w:tc>
          <w:tcPr>
            <w:tcW w:type="dxa" w:w="1984"/>
          </w:tcPr>
          <w:p>
            <w:pPr>
              <w:keepNext w:val="0"/>
              <w:spacing w:after="80" w:before="80"/>
            </w:pPr>
            <w:r>
              <w:rPr>
                <w:b w:val="0"/>
                <w:sz w:val="18"/>
              </w:rPr>
              <w:t>Revenue departures</w:t>
            </w:r>
          </w:p>
        </w:tc>
      </w:tr>
      <w:tr>
        <w:trPr>
          <w:cantSplit/>
        </w:trPr>
        <w:tc>
          <w:tcPr>
            <w:tcW w:type="dxa" w:w="1814"/>
          </w:tcPr>
          <w:p>
            <w:pPr>
              <w:keepNext w:val="0"/>
              <w:spacing w:after="80" w:before="80"/>
            </w:pPr>
            <w:r>
              <w:rPr>
                <w:b w:val="0"/>
                <w:sz w:val="18"/>
              </w:rPr>
              <w:t>Monitored ATA chapters</w:t>
            </w:r>
          </w:p>
        </w:tc>
        <w:tc>
          <w:tcPr>
            <w:tcW w:type="dxa" w:w="2778"/>
          </w:tcPr>
          <w:p>
            <w:pPr>
              <w:keepNext w:val="0"/>
              <w:spacing w:after="80" w:before="80"/>
            </w:pPr>
            <w:r>
              <w:rPr>
                <w:b w:val="0"/>
                <w:sz w:val="18"/>
              </w:rPr>
              <w:t>The chapter scope, including chapters with no entries, matching the controlled systems in section 5.</w:t>
            </w:r>
          </w:p>
        </w:tc>
        <w:tc>
          <w:tcPr>
            <w:tcW w:type="dxa" w:w="3061"/>
          </w:tcPr>
          <w:p>
            <w:pPr>
              <w:keepNext w:val="0"/>
              <w:spacing w:after="80" w:before="80"/>
            </w:pPr>
            <w:r>
              <w:rPr>
                <w:b w:val="0"/>
                <w:sz w:val="18"/>
              </w:rPr>
              <w:t>chapters and ranges separated by commas, e.g. 21-36, 38, 49 / All chapters with entries; chapter numbers are ascending from 01 to 99</w:t>
            </w:r>
          </w:p>
        </w:tc>
        <w:tc>
          <w:tcPr>
            <w:tcW w:type="dxa" w:w="1984"/>
          </w:tcPr>
          <w:p>
            <w:pPr>
              <w:keepNext w:val="0"/>
              <w:spacing w:after="80" w:before="80"/>
            </w:pPr>
            <w:r>
              <w:rPr>
                <w:b w:val="0"/>
                <w:sz w:val="18"/>
              </w:rPr>
              <w:t>21-36, 38, 49, 51-57, 71-80</w:t>
            </w:r>
          </w:p>
        </w:tc>
      </w:tr>
      <w:tr>
        <w:trPr>
          <w:cantSplit/>
        </w:trPr>
        <w:tc>
          <w:tcPr>
            <w:tcW w:type="dxa" w:w="1814"/>
          </w:tcPr>
          <w:p>
            <w:pPr>
              <w:keepNext w:val="0"/>
              <w:spacing w:after="80" w:before="80"/>
            </w:pPr>
            <w:r>
              <w:rPr>
                <w:b w:val="0"/>
                <w:sz w:val="18"/>
              </w:rPr>
              <w:t>Event-based items</w:t>
            </w:r>
          </w:p>
        </w:tc>
        <w:tc>
          <w:tcPr>
            <w:tcW w:type="dxa" w:w="2778"/>
          </w:tcPr>
          <w:p>
            <w:pPr>
              <w:keepNext w:val="0"/>
              <w:spacing w:after="80" w:before="80"/>
            </w:pPr>
            <w:r>
              <w:rPr>
                <w:b w:val="0"/>
                <w:sz w:val="18"/>
              </w:rPr>
              <w:t>The events listed individually for investigation; safety-significant events remain subject to section 10.2.</w:t>
            </w:r>
          </w:p>
        </w:tc>
        <w:tc>
          <w:tcPr>
            <w:tcW w:type="dxa" w:w="3061"/>
          </w:tcPr>
          <w:p>
            <w:pPr>
              <w:keepNext w:val="0"/>
              <w:spacing w:after="80" w:before="80"/>
            </w:pPr>
            <w:r>
              <w:rPr>
                <w:b w:val="0"/>
                <w:sz w:val="18"/>
              </w:rPr>
              <w:t>One or more of Diversions, Turn-backs, In-flight shutdowns, Rejected take-offs, Cancellations, separated by commas / None</w:t>
            </w:r>
          </w:p>
        </w:tc>
        <w:tc>
          <w:tcPr>
            <w:tcW w:type="dxa" w:w="1984"/>
          </w:tcPr>
          <w:p>
            <w:pPr>
              <w:keepNext w:val="0"/>
              <w:spacing w:after="80" w:before="80"/>
            </w:pPr>
            <w:r>
              <w:rPr>
                <w:b w:val="0"/>
                <w:sz w:val="18"/>
              </w:rPr>
              <w:t>Diversions, Turn-backs, In-flight shutdowns, Rejected take-offs</w:t>
            </w:r>
          </w:p>
        </w:tc>
      </w:tr>
      <w:tr>
        <w:trPr>
          <w:cantSplit/>
        </w:trPr>
        <w:tc>
          <w:tcPr>
            <w:tcW w:type="dxa" w:w="1814"/>
          </w:tcPr>
          <w:p>
            <w:pPr>
              <w:keepNext w:val="0"/>
              <w:spacing w:after="80" w:before="80"/>
            </w:pPr>
            <w:r>
              <w:rPr>
                <w:b w:val="0"/>
                <w:sz w:val="18"/>
              </w:rPr>
              <w:t>Repetitive defect</w:t>
            </w:r>
          </w:p>
        </w:tc>
        <w:tc>
          <w:tcPr>
            <w:tcW w:type="dxa" w:w="2778"/>
          </w:tcPr>
          <w:p>
            <w:pPr>
              <w:keepNext w:val="0"/>
              <w:spacing w:after="80" w:before="80"/>
            </w:pPr>
            <w:r>
              <w:rPr>
                <w:b w:val="0"/>
                <w:sz w:val="18"/>
              </w:rPr>
              <w:t>The entry count and elapsed limits that identify a possible repetitive defect.</w:t>
            </w:r>
          </w:p>
        </w:tc>
        <w:tc>
          <w:tcPr>
            <w:tcW w:type="dxa" w:w="3061"/>
          </w:tcPr>
          <w:p>
            <w:pPr>
              <w:keepNext w:val="0"/>
              <w:spacing w:after="80" w:before="80"/>
            </w:pPr>
            <w:r>
              <w:rPr>
                <w:b w:val="0"/>
                <w:sz w:val="18"/>
              </w:rPr>
              <w:t>N times within X flight hours, Y flight cycles and/or Z days; two or more limits end with 'whichever comes first' (every limit must hold) or 'whichever comes later' (any limit may hold). N is a whole number at least 2. Each chosen positive limit appears once, separated by commas, 'and' or 'or'</w:t>
            </w:r>
          </w:p>
        </w:tc>
        <w:tc>
          <w:tcPr>
            <w:tcW w:type="dxa" w:w="1984"/>
          </w:tcPr>
          <w:p>
            <w:pPr>
              <w:keepNext w:val="0"/>
              <w:spacing w:after="80" w:before="80"/>
            </w:pPr>
            <w:r>
              <w:rPr>
                <w:b w:val="0"/>
                <w:sz w:val="18"/>
              </w:rPr>
              <w:t>3 times within 10 flight cycles or 15 days, whichever comes first</w:t>
            </w:r>
          </w:p>
        </w:tc>
      </w:tr>
      <w:tr>
        <w:trPr>
          <w:cantSplit/>
        </w:trPr>
        <w:tc>
          <w:tcPr>
            <w:tcW w:type="dxa" w:w="1814"/>
          </w:tcPr>
          <w:p>
            <w:pPr>
              <w:keepNext w:val="0"/>
              <w:spacing w:after="80" w:before="80"/>
            </w:pPr>
            <w:r>
              <w:rPr>
                <w:b w:val="0"/>
                <w:sz w:val="18"/>
              </w:rPr>
              <w:t>Repetitive defect match</w:t>
            </w:r>
          </w:p>
        </w:tc>
        <w:tc>
          <w:tcPr>
            <w:tcW w:type="dxa" w:w="2778"/>
          </w:tcPr>
          <w:p>
            <w:pPr>
              <w:keepNext w:val="0"/>
              <w:spacing w:after="80" w:before="80"/>
            </w:pPr>
            <w:r>
              <w:rPr>
                <w:b w:val="0"/>
                <w:sz w:val="18"/>
              </w:rPr>
              <w:t>The aircraft and ATA grouping used to find possible repetitions.</w:t>
            </w:r>
          </w:p>
        </w:tc>
        <w:tc>
          <w:tcPr>
            <w:tcW w:type="dxa" w:w="3061"/>
          </w:tcPr>
          <w:p>
            <w:pPr>
              <w:keepNext w:val="0"/>
              <w:spacing w:after="80" w:before="80"/>
            </w:pPr>
            <w:r>
              <w:rPr>
                <w:b w:val="0"/>
                <w:sz w:val="18"/>
              </w:rPr>
              <w:t>Same aircraft and ATA sub-chapter / Same aircraft and ATA chapter</w:t>
            </w:r>
          </w:p>
        </w:tc>
        <w:tc>
          <w:tcPr>
            <w:tcW w:type="dxa" w:w="1984"/>
          </w:tcPr>
          <w:p>
            <w:pPr>
              <w:keepNext w:val="0"/>
              <w:spacing w:after="80" w:before="80"/>
            </w:pPr>
            <w:r>
              <w:rPr>
                <w:b w:val="0"/>
                <w:sz w:val="18"/>
              </w:rPr>
              <w:t>Same aircraft and ATA sub-chapter</w:t>
            </w:r>
          </w:p>
        </w:tc>
      </w:tr>
      <w:tr>
        <w:trPr>
          <w:cantSplit/>
        </w:trPr>
        <w:tc>
          <w:tcPr>
            <w:tcW w:type="dxa" w:w="1814"/>
          </w:tcPr>
          <w:p>
            <w:pPr>
              <w:keepNext w:val="0"/>
              <w:spacing w:after="80" w:before="80"/>
            </w:pPr>
            <w:r>
              <w:rPr>
                <w:b w:val="0"/>
                <w:sz w:val="18"/>
              </w:rPr>
              <w:t>Chart length</w:t>
            </w:r>
          </w:p>
        </w:tc>
        <w:tc>
          <w:tcPr>
            <w:tcW w:type="dxa" w:w="2778"/>
          </w:tcPr>
          <w:p>
            <w:pPr>
              <w:keepNext w:val="0"/>
              <w:spacing w:after="80" w:before="80"/>
            </w:pPr>
            <w:r>
              <w:rPr>
                <w:b w:val="0"/>
                <w:sz w:val="18"/>
              </w:rPr>
              <w:t>The number of months displayed on history charts; this does not change the baseline.</w:t>
            </w:r>
          </w:p>
        </w:tc>
        <w:tc>
          <w:tcPr>
            <w:tcW w:type="dxa" w:w="3061"/>
          </w:tcPr>
          <w:p>
            <w:pPr>
              <w:keepNext w:val="0"/>
              <w:spacing w:after="80" w:before="80"/>
            </w:pPr>
            <w:r>
              <w:rPr>
                <w:b w:val="0"/>
                <w:sz w:val="18"/>
              </w:rPr>
              <w:t>N months (whole N from 12 to 36)</w:t>
            </w:r>
          </w:p>
        </w:tc>
        <w:tc>
          <w:tcPr>
            <w:tcW w:type="dxa" w:w="1984"/>
          </w:tcPr>
          <w:p>
            <w:pPr>
              <w:keepNext w:val="0"/>
              <w:spacing w:after="80" w:before="80"/>
            </w:pPr>
            <w:r>
              <w:rPr>
                <w:b w:val="0"/>
                <w:sz w:val="18"/>
              </w:rPr>
              <w:t>24 months</w:t>
            </w:r>
          </w:p>
        </w:tc>
      </w:tr>
      <w:tr>
        <w:trPr>
          <w:cantSplit/>
        </w:trPr>
        <w:tc>
          <w:tcPr>
            <w:tcW w:type="dxa" w:w="1814"/>
          </w:tcPr>
          <w:p>
            <w:pPr>
              <w:keepNext w:val="0"/>
              <w:spacing w:after="80" w:before="80"/>
            </w:pPr>
            <w:r>
              <w:rPr>
                <w:b w:val="0"/>
                <w:sz w:val="18"/>
              </w:rPr>
              <w:t>Component reliability</w:t>
            </w:r>
          </w:p>
        </w:tc>
        <w:tc>
          <w:tcPr>
            <w:tcW w:type="dxa" w:w="2778"/>
          </w:tcPr>
          <w:p>
            <w:pPr>
              <w:keepNext w:val="0"/>
              <w:spacing w:after="80" w:before="80"/>
            </w:pPr>
            <w:r>
              <w:rPr>
                <w:b w:val="0"/>
                <w:sz w:val="18"/>
              </w:rPr>
              <w:t>Whether the separate component-removals register and section 10.5 analysis are used.</w:t>
            </w:r>
          </w:p>
        </w:tc>
        <w:tc>
          <w:tcPr>
            <w:tcW w:type="dxa" w:w="3061"/>
          </w:tcPr>
          <w:p>
            <w:pPr>
              <w:keepNext w:val="0"/>
              <w:spacing w:after="80" w:before="80"/>
            </w:pPr>
            <w:r>
              <w:rPr>
                <w:b w:val="0"/>
                <w:sz w:val="18"/>
              </w:rPr>
              <w:t>Included / Not included</w:t>
            </w:r>
          </w:p>
        </w:tc>
        <w:tc>
          <w:tcPr>
            <w:tcW w:type="dxa" w:w="1984"/>
          </w:tcPr>
          <w:p>
            <w:pPr>
              <w:keepNext w:val="0"/>
              <w:spacing w:after="80" w:before="80"/>
            </w:pPr>
            <w:r>
              <w:rPr>
                <w:b w:val="0"/>
                <w:sz w:val="18"/>
              </w:rPr>
              <w:t>Not included</w:t>
            </w:r>
          </w:p>
        </w:tc>
      </w:tr>
      <w:tr>
        <w:trPr>
          <w:cantSplit/>
        </w:trPr>
        <w:tc>
          <w:tcPr>
            <w:tcW w:type="dxa" w:w="1814"/>
          </w:tcPr>
          <w:p>
            <w:pPr>
              <w:keepNext w:val="0"/>
              <w:spacing w:after="80" w:before="80"/>
            </w:pPr>
            <w:r>
              <w:rPr>
                <w:b w:val="0"/>
                <w:sz w:val="18"/>
              </w:rPr>
              <w:t>Rogue unit</w:t>
            </w:r>
          </w:p>
        </w:tc>
        <w:tc>
          <w:tcPr>
            <w:tcW w:type="dxa" w:w="2778"/>
          </w:tcPr>
          <w:p>
            <w:pPr>
              <w:keepNext w:val="0"/>
              <w:spacing w:after="80" w:before="80"/>
            </w:pPr>
            <w:r>
              <w:rPr>
                <w:b w:val="0"/>
                <w:sz w:val="18"/>
              </w:rPr>
              <w:t>The screening threshold for a suspected rogue unit; engineering review confirms the fault history.</w:t>
            </w:r>
          </w:p>
        </w:tc>
        <w:tc>
          <w:tcPr>
            <w:tcW w:type="dxa" w:w="3061"/>
          </w:tcPr>
          <w:p>
            <w:pPr>
              <w:keepNext w:val="0"/>
              <w:spacing w:after="80" w:before="80"/>
            </w:pPr>
            <w:r>
              <w:rPr>
                <w:b w:val="0"/>
                <w:sz w:val="18"/>
              </w:rPr>
              <w:t>N unscheduled removals of the same serial number within M months (N at least 2, M from 1 to 36). N and M are whole numbers</w:t>
            </w:r>
          </w:p>
        </w:tc>
        <w:tc>
          <w:tcPr>
            <w:tcW w:type="dxa" w:w="1984"/>
          </w:tcPr>
          <w:p>
            <w:pPr>
              <w:keepNext w:val="0"/>
              <w:spacing w:after="80" w:before="80"/>
            </w:pPr>
            <w:r>
              <w:rPr>
                <w:b w:val="0"/>
                <w:sz w:val="18"/>
              </w:rPr>
              <w:t>2 unscheduled removals of the same serial number within 12 months</w:t>
            </w:r>
          </w:p>
        </w:tc>
      </w:tr>
      <w:tr>
        <w:trPr>
          <w:cantSplit/>
        </w:trPr>
        <w:tc>
          <w:tcPr>
            <w:tcW w:type="dxa" w:w="1814"/>
          </w:tcPr>
          <w:p>
            <w:pPr>
              <w:keepNext w:val="0"/>
              <w:spacing w:after="80" w:before="80"/>
            </w:pPr>
            <w:r>
              <w:rPr>
                <w:b w:val="0"/>
                <w:sz w:val="18"/>
              </w:rPr>
              <w:t>Task effectiveness</w:t>
            </w:r>
          </w:p>
        </w:tc>
        <w:tc>
          <w:tcPr>
            <w:tcW w:type="dxa" w:w="2778"/>
          </w:tcPr>
          <w:p>
            <w:pPr>
              <w:keepNext w:val="0"/>
              <w:spacing w:after="80" w:before="80"/>
            </w:pPr>
            <w:r>
              <w:rPr>
                <w:b w:val="0"/>
                <w:sz w:val="18"/>
              </w:rPr>
              <w:t>Whether the task-findings register and section 10.6 analysis are used; MSG-3 monitoring must remain in place.</w:t>
            </w:r>
          </w:p>
        </w:tc>
        <w:tc>
          <w:tcPr>
            <w:tcW w:type="dxa" w:w="3061"/>
          </w:tcPr>
          <w:p>
            <w:pPr>
              <w:keepNext w:val="0"/>
              <w:spacing w:after="80" w:before="80"/>
            </w:pPr>
            <w:r>
              <w:rPr>
                <w:b w:val="0"/>
                <w:sz w:val="18"/>
              </w:rPr>
              <w:t>Included / Not included</w:t>
            </w:r>
          </w:p>
        </w:tc>
        <w:tc>
          <w:tcPr>
            <w:tcW w:type="dxa" w:w="1984"/>
          </w:tcPr>
          <w:p>
            <w:pPr>
              <w:keepNext w:val="0"/>
              <w:spacing w:after="80" w:before="80"/>
            </w:pPr>
            <w:r>
              <w:rPr>
                <w:b w:val="0"/>
                <w:sz w:val="18"/>
              </w:rPr>
              <w:t>Included</w:t>
            </w:r>
          </w:p>
        </w:tc>
      </w:tr>
    </w:tbl>
    <w:p>
      <w:pPr>
        <w:pStyle w:val="Heading1"/>
      </w:pPr>
      <w:r>
        <w:t>9. Display of information</w:t>
      </w:r>
      <w:r>
        <w:rPr>
          <w:color w:val="50636A"/>
          <w:sz w:val="18"/>
        </w:rPr>
        <w:br/>
        <w:t>Appendix I 6.5.5; 6.5.5.1–6.5.5.2</w:t>
        <w:t xml:space="preserve"> | AC 120-17B 7.1.1–7.1.3</w:t>
      </w:r>
    </w:p>
    <w:p>
      <w:r>
        <w:t xml:space="preserve">Our report uses </w:t>
      </w:r>
      <w:sdt>
        <w:sdtPr>
          <w:id w:val="79"/>
          <w:tag w:val="pick:choice:79"/>
          <w:alias w:val="Choose or edit"/>
          <w:rPr>
            <w:highlight w:val="yellow"/>
          </w:rPr>
          <w:dropDownList w:lastValue="the tables and charts described in this programme">
            <w:listItem w:value="the tables and charts described in this programme" w:displayText="the tables and charts described in this programme"/>
            <w:listItem w:value="our controlled report format" w:displayText="our controlled report format"/>
          </w:dropDownList>
        </w:sdtPr>
        <w:sdtContent>
          <w:r>
            <w:rPr>
              <w:highlight w:val="yellow"/>
            </w:rPr>
            <w:t xml:space="preserve">the tables and charts described in this programme</w:t>
          </w:r>
        </w:sdtContent>
      </w:sdt>
      <w:r>
        <w:t xml:space="preserve">; controlled format reference, if separate: </w:t>
      </w:r>
      <w:sdt>
        <w:sdtPr>
          <w:id w:val="80"/>
          <w:tag w:val="combo:reference:80"/>
          <w:alias w:val="reference"/>
          <w:rPr>
            <w:highlight w:val="yellow"/>
          </w:rPr>
          <w:comboBox w:lastValue="Not used">
            <w:listItem w:value="Not used" w:displayText="Not used"/>
          </w:comboBox>
        </w:sdtPr>
        <w:sdtContent>
          <w:r>
            <w:rPr>
              <w:highlight w:val="yellow"/>
            </w:rPr>
            <w:t xml:space="preserve">Not used</w:t>
          </w:r>
        </w:sdtContent>
      </w:sdt>
      <w:r>
        <w:t>. We group rates by report kind and ATA chapter, and show events and aircraft comparisons separately.</w:t>
      </w:r>
    </w:p>
    <w:p>
      <w:r>
        <w:t>The tables and charts identify the period, aircraft scope, counts, exposure, units and source and approval status of each alert level, including interim levels. They show trends, alerts, related events and changes from the preceding period. We show every selected chapter, including a checked nil return. All chapters with entries covers only chapters with baseline or period entries; an explicit chapter list keeps zero-entry chapters visible. Missing data or exposure is unavailable with its reason, not a nil return. We list exclusions and unresolved checks with reasons and correction routes, separate non-comparable types or conditions, and retain adverse observations even when they raise a rate.</w:t>
      </w:r>
    </w:p>
    <w:p>
      <w:pPr>
        <w:pStyle w:val="Fillinghint"/>
      </w:pPr>
      <w:r>
        <w:t>Keep this text if it describes how you work; change the yellow words if not.</w:t>
      </w:r>
    </w:p>
    <w:p>
      <w:pPr>
        <w:pStyle w:val="Heading1"/>
      </w:pPr>
      <w:r>
        <w:t>10. Examination, analysis and interpretation</w:t>
      </w:r>
      <w:r>
        <w:rPr>
          <w:color w:val="50636A"/>
          <w:sz w:val="18"/>
        </w:rPr>
        <w:br/>
        <w:t>Appendix I 6.3; 6.5.6.1–6.5.6.4</w:t>
        <w:t xml:space="preserve"> | AC 120-17B 5.1; 5.2</w:t>
        <w:t xml:space="preserve"> | M.A.301(b)</w:t>
      </w:r>
    </w:p>
    <w:p>
      <w:r>
        <w:t>For each concern, we relate the observed change to flight defects, line and base findings, routine-maintenance deterioration, workshop findings and modification results. We examine sampling results, equipment, publications, procedures, training and service information. The investigation records the evidence, possible causes, conclusion and any need for further analysis.</w:t>
      </w:r>
    </w:p>
    <w:p>
      <w:r>
        <w:t xml:space="preserve">The </w:t>
      </w:r>
      <w:r>
        <w:t>reliability engineer</w:t>
      </w:r>
      <w:r>
        <w:t xml:space="preserve"> checks new indications </w:t>
      </w:r>
      <w:sdt>
        <w:sdtPr>
          <w:id w:val="81"/>
          <w:tag w:val="pick:choice:81"/>
          <w:alias w:val="Choose or edit"/>
          <w:rPr>
            <w:highlight w:val="yellow"/>
          </w:rPr>
          <w:dropDownList w:lastValue="each working day">
            <w:listItem w:value="each working day" w:displayText="each working day"/>
            <w:listItem w:value="on receipt" w:displayText="on receipt"/>
          </w:dropDownList>
        </w:sdtPr>
        <w:sdtContent>
          <w:r>
            <w:rPr>
              <w:highlight w:val="yellow"/>
            </w:rPr>
            <w:t xml:space="preserve">each working day</w:t>
          </w:r>
        </w:sdtContent>
      </w:sdt>
      <w:r>
        <w:t xml:space="preserve"> and completes the routine analysis before the report deadline in section 14. We refer a possible safety concern immediately to the </w:t>
      </w:r>
      <w:r>
        <w:t>programme owner</w:t>
      </w:r>
      <w:r>
        <w:t xml:space="preserve"> and maintenance control under </w:t>
      </w:r>
      <w:sdt>
        <w:sdtPr>
          <w:id w:val="82"/>
          <w:tag w:val="fact:reference:82"/>
          <w:alias w:val="reference"/>
          <w:rPr>
            <w:highlight w:val="yellow"/>
          </w:rPr>
          <w:placeholder>
            <w:docPart w:val="AvioverseFact82"/>
          </w:placeholder>
          <w:showingPlcHdr/>
          <w:text/>
        </w:sdtPr>
        <w:sdtContent>
          <w:r>
            <w:rPr>
              <w:rStyle w:val="PlaceholderText"/>
              <w:highlight w:val="yellow"/>
            </w:rPr>
            <w:t xml:space="preserve">[e.g. CAME 1.4]</w:t>
          </w:r>
        </w:sdtContent>
      </w:sdt>
      <w:r>
        <w:t>; the report cycle never delays defect rectification or occurrence reporting.</w:t>
      </w:r>
    </w:p>
    <w:p>
      <w:r>
        <w:t xml:space="preserve">Specialist statistical studies are </w:t>
      </w:r>
      <w:sdt>
        <w:sdtPr>
          <w:id w:val="83"/>
          <w:tag w:val="pick:choice:83"/>
          <w:alias w:val="Choose or edit"/>
          <w:rPr>
            <w:highlight w:val="yellow"/>
          </w:rPr>
          <w:dropDownList w:lastValue="commissioned only when a specific investigation needs them">
            <w:listItem w:value="commissioned only when a specific investigation needs them" w:displayText="commissioned only when a specific investigation needs them"/>
            <w:listItem w:value="performed by our qualified specialist when needed" w:displayText="performed by our qualified specialist when needed"/>
          </w:dropDownList>
        </w:sdtPr>
        <w:sdtContent>
          <w:r>
            <w:rPr>
              <w:highlight w:val="yellow"/>
            </w:rPr>
            <w:t xml:space="preserve">commissioned only when a specific investigation needs them</w:t>
          </w:r>
        </w:sdtContent>
      </w:sdt>
      <w:r>
        <w:t>. Our CAMO agrees the question, suitable data, assumptions, method and competent reviewer before using confidence tests, life-band studies, survival analysis or reliability predictions. The routine rate tables do not perform these studies.</w:t>
      </w:r>
    </w:p>
    <w:p>
      <w:pPr>
        <w:pStyle w:val="Fillinghint"/>
      </w:pPr>
      <w:r>
        <w:t>Keep this text if it describes how you work; change the yellow words if not.</w:t>
      </w:r>
    </w:p>
    <w:p>
      <w:pPr>
        <w:pStyle w:val="Heading2"/>
      </w:pPr>
      <w:r>
        <w:t>10.1. Chapter rates and operating performance</w:t>
      </w:r>
      <w:r>
        <w:rPr>
          <w:color w:val="50636A"/>
          <w:sz w:val="18"/>
        </w:rPr>
        <w:br/>
        <w:t>Appendix I 6.5.6.2(a)–(b)</w:t>
        <w:t xml:space="preserve"> | AC 120-17B 4.1; 4.2.1–4.2.2</w:t>
      </w:r>
    </w:p>
    <w:p>
      <w:r>
        <w:t>For each report kind and chapter, the running rate is the entries in the running window divided by the flight hours or cycles in that window, multiplied by the selected rate basis. The report compares this rate with the applicable level and entry-count threshold. We review the trend even when no statistical alert appears.</w:t>
      </w:r>
    </w:p>
    <w:p>
      <w:r>
        <w:t>The report counts technical delays at or above the selected duration and shows delay and cancellation rates per 100 departures. Technical dispatch reliability is 100 minus 100 × (technical delays + technical cancellations) ÷ departures, using the departure basis in section 8. If incomplete revenue departures require substitution with all departures, the report states this. A zero denominator gives an unavailable result.</w:t>
      </w:r>
    </w:p>
    <w:p>
      <w:r>
        <w:t>We investigate any records that could count one interrupted departure twice, using the counting convention in section 6. The rates accompany the event review in section 10.2.</w:t>
      </w:r>
    </w:p>
    <w:p>
      <w:pPr>
        <w:pStyle w:val="Heading2"/>
      </w:pPr>
      <w:r>
        <w:t>10.2. Events for investigation</w:t>
      </w:r>
      <w:r>
        <w:rPr>
          <w:color w:val="50636A"/>
          <w:sz w:val="18"/>
        </w:rPr>
        <w:br/>
        <w:t>Appendix I 6.5.4.2; 6.5.6.3(a)</w:t>
        <w:t xml:space="preserve"> | AC 120-17B 4.2.3; 4.2.5</w:t>
      </w:r>
    </w:p>
    <w:p>
      <w:r>
        <w:t>The report lists each selected event with date, aircraft, ATA, log reference, description and action taken. We investigate events with safety implications or major operational impact regardless of their count, including events outside the selected display list. Investigation does not wait for an alert level or the minimum statistical entry count.</w:t>
      </w:r>
    </w:p>
    <w:p>
      <w:r>
        <w:t>We retain event findings with the action decision and follow the applicable operational and occurrence-reporting procedures; the reliability report does not replace them.</w:t>
      </w:r>
    </w:p>
    <w:p>
      <w:pPr>
        <w:pStyle w:val="Heading2"/>
      </w:pPr>
      <w:r>
        <w:t>10.3. Repetitive defects</w:t>
      </w:r>
      <w:r>
        <w:rPr>
          <w:color w:val="50636A"/>
          <w:sz w:val="18"/>
        </w:rPr>
        <w:br/>
        <w:t>Appendix I 6.5.6.2(c)</w:t>
        <w:t xml:space="preserve"> | AC 120-17B 5.1.1(3)</w:t>
      </w:r>
    </w:p>
    <w:p>
      <w:r>
        <w:t>The calculation groups entries by aircraft and the selected ATA key, using the count and elapsed limits in section 8. “Whichever comes first” requires every stated limit to hold; “whichever comes later” requires at least one. We check the source descriptions to confirm whether the same defect has recurred; a common ATA code alone does not establish a common cause.</w:t>
      </w:r>
    </w:p>
    <w:p>
      <w:r>
        <w:t>The calculation uses aircraft total hours and cycles at the entries when available. Where monthly exposure is spread over the days of a month, the report labels the result estimated from monthly hours. We confirm a suspected repetition from the original records before deciding the action.</w:t>
      </w:r>
    </w:p>
    <w:p>
      <w:pPr>
        <w:pStyle w:val="Heading2"/>
      </w:pPr>
      <w:r>
        <w:t>10.4. Review by aircraft</w:t>
      </w:r>
      <w:r>
        <w:rPr>
          <w:color w:val="50636A"/>
          <w:sz w:val="18"/>
        </w:rPr>
        <w:br/>
        <w:t>Appendix I 6.5.6.2–6.5.6.3</w:t>
        <w:t xml:space="preserve"> | AC 120-17B 5.1.1(3)</w:t>
      </w:r>
    </w:p>
    <w:p>
      <w:r>
        <w:t>We compare each aircraft’s exposure, counts, rates, delays, cancellations and dispatch reliability, taking account of configuration, utilisation, environment and time since maintenance. We review repeated defects in the same system against the maintenance history and record the investigation of suspected chronic aircraft.</w:t>
      </w:r>
    </w:p>
    <w:p>
      <w:pPr>
        <w:pStyle w:val="Heading2"/>
      </w:pPr>
      <w:r>
        <w:t>10.5. Component reliability — optional register</w:t>
      </w:r>
      <w:r>
        <w:rPr>
          <w:color w:val="50636A"/>
          <w:sz w:val="18"/>
        </w:rPr>
        <w:br/>
        <w:t>Appendix I 6.5.2; 6.5.6.2–6.5.6.3</w:t>
        <w:t xml:space="preserve"> | AC 120-17B 3.1; 4.2.5; 5.1.1(3)</w:t>
      </w:r>
    </w:p>
    <w:p>
      <w:r>
        <w:t xml:space="preserve">Section 8 sets Component reliability. When it is Included, we apply the register method below; when Not included, we still review removal and shop findings with the technical logs and maintenance reports; the separate monitoring reference, if any, is </w:t>
      </w:r>
      <w:sdt>
        <w:sdtPr>
          <w:id w:val="84"/>
          <w:tag w:val="combo:reference:84"/>
          <w:alias w:val="reference"/>
          <w:rPr>
            <w:highlight w:val="yellow"/>
          </w:rPr>
          <w:comboBox w:lastValue="Not used">
            <w:listItem w:value="Not used" w:displayText="Not used"/>
          </w:comboBox>
        </w:sdtPr>
        <w:sdtContent>
          <w:r>
            <w:rPr>
              <w:highlight w:val="yellow"/>
            </w:rPr>
            <w:t xml:space="preserve">Not used</w:t>
          </w:r>
        </w:sdtContent>
      </w:sdt>
      <w:r>
        <w:t>.</w:t>
      </w:r>
    </w:p>
    <w:p>
      <w:r>
        <w:t>We identify components by part and serial number, removal reason and shop findings. The analysis separates scheduled removals, unscheduled removals, confirmed failures, NFF and findings still awaited. We check suspected rogue units against their actual fault history; repeated removals alone do not prove a rogue unit.</w:t>
      </w:r>
    </w:p>
    <w:p>
      <w:r>
        <w:t>This calculation counts a removal with a Not yet known shop finding as unscheduled until the finding is received. The data checks identify this provisional classification, including any source row marked Scheduled. We update the classification when the evidence arrives.</w:t>
      </w:r>
    </w:p>
    <w:p>
      <w:r>
        <w:t>For the report period and the 12 months ending with it, unit hours are the sum of monthly fleet flight hours × installed quantity per aircraft. The report shows unscheduled removals per 1,000 unit hours, MTBUR (unit hours ÷ unscheduled removals), MTBF (unit hours ÷ confirmed failures), and NFF share (NFF ÷ confirmed-plus-NFF findings). Zero denominators give unavailable results.</w:t>
      </w:r>
    </w:p>
    <w:p>
      <w:r>
        <w:t xml:space="preserve">When Component reliability is Included, the </w:t>
      </w:r>
      <w:r>
        <w:t>reliability engineer</w:t>
      </w:r>
      <w:r>
        <w:t xml:space="preserve"> checks each part number and installed quantity against configuration records before calculating exposure. We include the part numbers represented by checked removals and state the fleet and installation assumption in the report. For missing or changed installations, we obtain suitable installation exposure or a separately documented method instead of applying fleet hours to a quantity not installed across that exposure. We record the limitation before interpretation. The maintenance interface requests outstanding shop findings every </w:t>
      </w:r>
      <w:sdt>
        <w:sdtPr>
          <w:id w:val="85"/>
          <w:tag w:val="combo:choice:85"/>
          <w:alias w:val="Choose or edit"/>
          <w:rPr>
            <w:highlight w:val="yellow"/>
          </w:rPr>
          <w:comboBox w:lastValue="30 days">
            <w:listItem w:value="30 days" w:displayText="30 days"/>
            <w:listItem w:value="14 days" w:displayText="14 days"/>
            <w:listItem w:value="60 days" w:displayText="60 days"/>
          </w:comboBox>
        </w:sdtPr>
        <w:sdtContent>
          <w:r>
            <w:rPr>
              <w:highlight w:val="yellow"/>
            </w:rPr>
            <w:t xml:space="preserve">30 days</w:t>
          </w:r>
        </w:sdtContent>
      </w:sdt>
      <w:r>
        <w:t xml:space="preserve"> and brings overdue responses to the reliability group.</w:t>
      </w:r>
    </w:p>
    <w:p>
      <w:pPr>
        <w:pStyle w:val="Heading2"/>
      </w:pPr>
      <w:r>
        <w:t>10.6. Task effectiveness — optional register, conditional duty</w:t>
      </w:r>
      <w:r>
        <w:rPr>
          <w:color w:val="50636A"/>
          <w:sz w:val="18"/>
        </w:rPr>
        <w:br/>
        <w:t>Appendix I 6.5.1.3; 6.5.6.3</w:t>
        <w:t xml:space="preserve"> | AC 120-17B 5.2.1–5.2.9</w:t>
        <w:t xml:space="preserve"> | M.A.301(e); M.A.302(e)</w:t>
      </w:r>
    </w:p>
    <w:p>
      <w:r>
        <w:t xml:space="preserve">Section 8 sets Task effectiveness. When it is Included, we apply the register method below; when Not included, our CAMO reviews the same task and interval evidence through a task-to-evidence list and source work packs; the alternative record reference is </w:t>
      </w:r>
      <w:sdt>
        <w:sdtPr>
          <w:id w:val="86"/>
          <w:tag w:val="combo:reference:86"/>
          <w:alias w:val="reference"/>
          <w:rPr>
            <w:highlight w:val="yellow"/>
          </w:rPr>
          <w:comboBox w:lastValue="Not used">
            <w:listItem w:value="Not used" w:displayText="Not used"/>
          </w:comboBox>
        </w:sdtPr>
        <w:sdtContent>
          <w:r>
            <w:rPr>
              <w:highlight w:val="yellow"/>
            </w:rPr>
            <w:t xml:space="preserve">Not used</w:t>
          </w:r>
        </w:sdtContent>
      </w:sdt>
      <w:r>
        <w:t>. All MSG-3 task monitoring remains in place in either case.</w:t>
      </w:r>
    </w:p>
    <w:p>
      <w:r>
        <w:t>For each task, the report shows accomplishments, findings, related findings, significant findings, findings per accomplishment, and the average and lowest yield. We retain the individual records so the engineer can examine the evidence behind each result.</w:t>
      </w:r>
    </w:p>
    <w:p>
      <w:r>
        <w:t>Task yield is actual elapsed interval ÷ defined interval in the same unit. AC 120-17B 5.2.3.2 uses an average yield of at least 90% and no individual yield below 80% for the task-analysis data set. These are FAA method criteria, not EASA interval-approval limits. Passing this yield check alone does not establish task effectiveness or justify an interval change.</w:t>
      </w:r>
    </w:p>
    <w:p>
      <w:r>
        <w:t>We investigate defects found at low yield. Low-yield accomplishments with no findings are not zero-failure evidence for escalation at the published interval. Our task review records the data selection, operational evidence, conclusions and further work needed. Any proposed task or interval change follows section 16; the report does not authorise it.</w:t>
      </w:r>
    </w:p>
    <w:p>
      <w:r>
        <w:t xml:space="preserve">The </w:t>
      </w:r>
      <w:r>
        <w:t>reliability engineer</w:t>
      </w:r>
      <w:r>
        <w:t xml:space="preserve"> reconciles the review list to the current AMP, including every MSG-3-related task. We link accomplishments and findings to the task, interval, intended failure mode and in-service defects, and identify tasks with no recent evidence. We check that aircraft, configurations, utilisation, season and data period are representative. We separate related, unrelated and significant findings and investigate significant unrelated findings through the appropriate programme process. For each report, following Report period in section 8, we review the new findings; at the annual AMP review we check full task coverage and interval adequacy. We record the conclusion and missing evidence for each reviewed task; no finding is not proof of effectiveness.</w:t>
      </w:r>
    </w:p>
    <w:p>
      <w:pPr>
        <w:pStyle w:val="Heading2"/>
      </w:pPr>
      <w:r>
        <w:t>10.7. Small-fleet provisions</w:t>
      </w:r>
      <w:r>
        <w:rPr>
          <w:color w:val="50636A"/>
          <w:sz w:val="18"/>
        </w:rPr>
        <w:br/>
        <w:t>Appendix I 6.2.1–6.2.7</w:t>
        <w:t xml:space="preserve"> | AC 120-17B 4.1; 4.2.3</w:t>
      </w:r>
    </w:p>
    <w:p>
      <w:r>
        <w:t>Low data volume can produce coarse alert levels; a single event can cause a large rate change. A zero rate may reflect missing statistical evidence rather than absence of a problem.</w:t>
      </w:r>
    </w:p>
    <w:p>
      <w:r>
        <w:t>Small-fleet provisions apply when the section 4 fleet has fewer than six aircraft of this type. For six or more aircraft, the normal event, trend and action reviews still apply. We check the fleet count at each report.</w:t>
      </w:r>
    </w:p>
    <w:p>
      <w:r>
        <w:t xml:space="preserve">For fewer than six aircraft, we tailor the work to fleet size and complexity and concentrate statistical work where data is sufficient. We use engineering judgement on every significant indication, even without a statistical alert. We identify gaps behind zero rates and compare with relevant manufacturer or same-type CAMO information where available. We consider pooling through section 17. If pooling is unavailable, we seek the authority's applicable interval restrictions and make no MRB/MPD interval variation without the required approval. Restriction reference, if issued: </w:t>
      </w:r>
      <w:sdt>
        <w:sdtPr>
          <w:id w:val="87"/>
          <w:tag w:val="combo:reference:87"/>
          <w:alias w:val="reference"/>
          <w:rPr>
            <w:highlight w:val="yellow"/>
          </w:rPr>
          <w:comboBox w:lastValue="Not issued yet">
            <w:listItem w:value="Not issued yet" w:displayText="Not issued yet"/>
          </w:comboBox>
        </w:sdtPr>
        <w:sdtContent>
          <w:r>
            <w:rPr>
              <w:highlight w:val="yellow"/>
            </w:rPr>
            <w:t xml:space="preserve">Not issued yet</w:t>
          </w:r>
        </w:sdtContent>
      </w:sdt>
      <w:r>
        <w:t>.</w:t>
      </w:r>
    </w:p>
    <w:p>
      <w:pPr>
        <w:pStyle w:val="Heading1"/>
      </w:pPr>
      <w:r>
        <w:t>11. Alert levels and their revision</w:t>
      </w:r>
      <w:r>
        <w:rPr>
          <w:color w:val="50636A"/>
          <w:sz w:val="18"/>
        </w:rPr>
        <w:br/>
        <w:t>Appendix I 6.5.10.1; 6.5.6.2(a); 6.2.4</w:t>
        <w:t xml:space="preserve"> | AC 120-17B 4.1; 4.2.1</w:t>
      </w:r>
    </w:p>
    <w:p>
      <w:r>
        <w:t>The proposed alert level is the mean of complete monthly running-rate observations in the fixed baseline before the revision takes effect, plus the selected multiple of their standard deviation. The calculation uses the sample or population form in section 8; sample standard deviation needs at least two observations.</w:t>
      </w:r>
    </w:p>
    <w:p>
      <w:r>
        <w:t>Each baseline observation needs exposure for its full running window, including the months preceding the baseline that form its first window. The reported period is never part of its own baseline. The proposal retains the baseline dates, units, complete-observation count, contributing entry count and method; the period under investigation does not change its threshold.</w:t>
      </w:r>
    </w:p>
    <w:p>
      <w:r>
        <w:t>The calculation labels a level interim when complete observations are fewer than the selected interim threshold. With no baseline entries it creates no calculated zero level; we review new entries separately. With insufficient exposure it shows the level as unavailable and identifies the missing data.</w:t>
      </w:r>
    </w:p>
    <w:p>
      <w:r>
        <w:t>The report uses the latest approved level effective by its first month. If a level change needs separate interpretation, we split the analysis into suitable periods and explain the change. Calculated levels awaiting approval are labelled Proposed. In Approved alert levels only mode, a missing approval gives no alert level; it does not mean acceptable performance.</w:t>
      </w:r>
    </w:p>
    <w:p>
      <w:r>
        <w:t xml:space="preserve">The </w:t>
      </w:r>
      <w:r>
        <w:t>reliability engineer</w:t>
      </w:r>
      <w:r>
        <w:t xml:space="preserve"> prepares dated proposals for each report kind and chapter, and for delays and cancellations, </w:t>
      </w:r>
      <w:sdt>
        <w:sdtPr>
          <w:id w:val="88"/>
          <w:tag w:val="combo:choice:88"/>
          <w:alias w:val="Choose or edit"/>
          <w:rPr>
            <w:highlight w:val="yellow"/>
          </w:rPr>
          <w:comboBox w:lastValue="30 days">
            <w:listItem w:value="30 days" w:displayText="30 days"/>
            <w:listItem w:value="45 days" w:displayText="45 days"/>
            <w:listItem w:value="60 days" w:displayText="60 days"/>
          </w:comboBox>
        </w:sdtPr>
        <w:sdtContent>
          <w:r>
            <w:rPr>
              <w:highlight w:val="yellow"/>
            </w:rPr>
            <w:t xml:space="preserve">30 days</w:t>
          </w:r>
        </w:sdtContent>
      </w:sdt>
      <w:r>
        <w:t xml:space="preserve"> before the effective cycle in section 8. The </w:t>
      </w:r>
      <w:r>
        <w:t>decision-maker named in section 13</w:t>
      </w:r>
      <w:r>
        <w:t xml:space="preserve"> reviews sensitivity to deterioration, unnecessary alerts, data adequacy and operating changes, then approves or changes the proposal. We record the basis, approval, effective month and next review in the Alert levels register.</w:t>
      </w:r>
    </w:p>
    <w:p>
      <w:r>
        <w:t xml:space="preserve">For a new type or insufficient baseline, we review events and trends </w:t>
      </w:r>
      <w:sdt>
        <w:sdtPr>
          <w:id w:val="89"/>
          <w:tag w:val="pick:choice:89"/>
          <w:alias w:val="Choose or edit"/>
          <w:rPr>
            <w:highlight w:val="yellow"/>
          </w:rPr>
          <w:dropDownList w:lastValue="monthly">
            <w:listItem w:value="monthly" w:displayText="monthly"/>
            <w:listItem w:value="at every routine report" w:displayText="at every routine report"/>
          </w:dropDownList>
        </w:sdtPr>
        <w:sdtContent>
          <w:r>
            <w:rPr>
              <w:highlight w:val="yellow"/>
            </w:rPr>
            <w:t xml:space="preserve">monthly</w:t>
          </w:r>
        </w:sdtContent>
      </w:sdt>
      <w:r>
        <w:t xml:space="preserve"> and identify calculated levels as interim or unavailable. Relevant similar-equipment or manufacturer information supports our assessment only with its applicability and limitations recorded; a provisional reference is not an established performance standard. We review levels additionally after repeated alerts, a fleet or operating change, missing data or evidence that the levels miss deterioration. The same CAMO decision route applies; we do not raise a level merely to remove an alert.</w:t>
      </w:r>
    </w:p>
    <w:p>
      <w:pPr>
        <w:pStyle w:val="Fillinghint"/>
      </w:pPr>
      <w:r>
        <w:t>Keep this text if it describes how you work; change the yellow words if not.</w:t>
      </w:r>
    </w:p>
    <w:p>
      <w:pPr>
        <w:pStyle w:val="Heading1"/>
      </w:pPr>
      <w:r>
        <w:t>12. Corrective actions and follow-up</w:t>
      </w:r>
      <w:r>
        <w:rPr>
          <w:color w:val="50636A"/>
          <w:sz w:val="18"/>
        </w:rPr>
        <w:br/>
        <w:t>Appendix I 6.5.7.1–6.5.7.2; 6.4.3</w:t>
        <w:t xml:space="preserve"> | AC 120-17B 5.3; 6.2.4; 7.1.1(7)–(9)</w:t>
      </w:r>
    </w:p>
    <w:p>
      <w:r>
        <w:t>The engineer records the concern, evidence, cause assessment and proposed response. The authorised CAMO decision-maker selects corrective action or no action. We obtain any required approval through the applicable procedure before implementation.</w:t>
      </w:r>
    </w:p>
    <w:p>
      <w:r>
        <w:t>Possible actions include changes to maintenance or operational procedures, tasks or intervals; manual amendments; modifications; special fleet inspections; spares provision; training; and manpower or equipment planning. AMP changes follow section 16.</w:t>
      </w:r>
    </w:p>
    <w:p>
      <w:r>
        <w:t xml:space="preserve">We set urgency from the concern and assess any possible safety concern immediately, without waiting for a routine meeting. For other report findings the reliability group records a decision within </w:t>
      </w:r>
      <w:sdt>
        <w:sdtPr>
          <w:id w:val="90"/>
          <w:tag w:val="combo:choice:90"/>
          <w:alias w:val="Choose or edit"/>
          <w:rPr>
            <w:highlight w:val="yellow"/>
          </w:rPr>
          <w:comboBox w:lastValue="30 days">
            <w:listItem w:value="30 days" w:displayText="30 days"/>
            <w:listItem w:value="14 days" w:displayText="14 days"/>
            <w:listItem w:value="45 days" w:displayText="45 days"/>
          </w:comboBox>
        </w:sdtPr>
        <w:sdtContent>
          <w:r>
            <w:rPr>
              <w:highlight w:val="yellow"/>
            </w:rPr>
            <w:t xml:space="preserve">30 days</w:t>
          </w:r>
        </w:sdtContent>
      </w:sdt>
      <w:r>
        <w:t xml:space="preserve"> of issue. The </w:t>
      </w:r>
      <w:r>
        <w:t>programme owner</w:t>
      </w:r>
      <w:r>
        <w:t xml:space="preserve"> resolves a delayed decision and sets an earlier response where the risk requires it.</w:t>
      </w:r>
    </w:p>
    <w:p>
      <w:r>
        <w:t xml:space="preserve">The </w:t>
      </w:r>
      <w:r>
        <w:t>reliability engineer</w:t>
      </w:r>
      <w:r>
        <w:t xml:space="preserve"> reviews open actions </w:t>
      </w:r>
      <w:sdt>
        <w:sdtPr>
          <w:id w:val="91"/>
          <w:tag w:val="pick:choice:91"/>
          <w:alias w:val="Choose or edit"/>
          <w:rPr>
            <w:highlight w:val="yellow"/>
          </w:rPr>
          <w:dropDownList w:lastValue="monthly">
            <w:listItem w:value="monthly" w:displayText="monthly"/>
            <w:listItem w:value="every two weeks" w:displayText="every two weeks"/>
          </w:dropDownList>
        </w:sdtPr>
        <w:sdtContent>
          <w:r>
            <w:rPr>
              <w:highlight w:val="yellow"/>
            </w:rPr>
            <w:t xml:space="preserve">monthly</w:t>
          </w:r>
        </w:sdtContent>
      </w:sdt>
      <w:r>
        <w:t xml:space="preserve">. Each report carries open and overdue actions. The owner agrees the implementation steps, planned completion date where applicable, and evidence needed to check effectiveness, then reports progress and completion evidence. An overdue action goes to the </w:t>
      </w:r>
      <w:r>
        <w:t>programme owner</w:t>
      </w:r>
      <w:r>
        <w:t xml:space="preserve">. After implementation we compare recurrence, relevant rates and inspection findings against the stated objective over </w:t>
      </w:r>
      <w:sdt>
        <w:sdtPr>
          <w:id w:val="92"/>
          <w:tag w:val="combo:choice:92"/>
          <w:alias w:val="Choose or edit"/>
          <w:rPr>
            <w:highlight w:val="yellow"/>
          </w:rPr>
          <w:comboBox w:lastValue="3 months">
            <w:listItem w:value="3 months" w:displayText="3 months"/>
            <w:listItem w:value="6 months" w:displayText="6 months"/>
            <w:listItem w:value="12 months" w:displayText="12 months"/>
          </w:comboBox>
        </w:sdtPr>
        <w:sdtContent>
          <w:r>
            <w:rPr>
              <w:highlight w:val="yellow"/>
            </w:rPr>
            <w:t xml:space="preserve">3 months</w:t>
          </w:r>
        </w:sdtContent>
      </w:sdt>
      <w:r>
        <w:t>, extending the review when evidence is insufficient. The action stays open, or has a linked follow-up action, until effectiveness is assessed. Our CAMO decision-maker records closure only after reviewing the completion and effectiveness evidence.</w:t>
      </w:r>
    </w:p>
    <w:p>
      <w:r>
        <w:t>We record a justified No action decision with its reason. We leave Action status blank unless the engineer states Open or Closed. A corrective action needs a stated Open or Closed status; we do not invent missing details.</w:t>
      </w:r>
    </w:p>
    <w:p>
      <w:pPr>
        <w:pStyle w:val="Heading1"/>
      </w:pPr>
      <w:r>
        <w:t>13. Organisation and reliability group</w:t>
      </w:r>
      <w:r>
        <w:rPr>
          <w:color w:val="50636A"/>
          <w:sz w:val="18"/>
        </w:rPr>
        <w:br/>
        <w:t>Appendix I 6.3.1–6.3.2; 6.4.1–6.4.4; 6.5.8</w:t>
        <w:t xml:space="preserve"> | AC 120-17B 2.1.3–2.1.4</w:t>
      </w:r>
    </w:p>
    <w:tbl>
      <w:tblPr>
        <w:tblStyle w:val="TableGrid"/>
        <w:tblW w:type="auto" w:w="0"/>
        <w:tblLayout w:type="fixed"/>
        <w:tblLook w:firstColumn="1" w:firstRow="1" w:lastColumn="0" w:lastRow="0" w:noHBand="0" w:noVBand="1" w:val="04A0"/>
      </w:tblPr>
      <w:tblGrid>
        <w:gridCol w:w="4365"/>
        <w:gridCol w:w="5272"/>
      </w:tblGrid>
      <w:tr>
        <w:trPr>
          <w:cantSplit/>
          <w:tblHeader/>
        </w:trPr>
        <w:tc>
          <w:tcPr>
            <w:tcW w:type="dxa" w:w="4365"/>
            <w:shd w:fill="E5EEF0"/>
          </w:tcPr>
          <w:p>
            <w:pPr>
              <w:keepNext/>
              <w:spacing w:after="80" w:before="80"/>
            </w:pPr>
            <w:r>
              <w:rPr>
                <w:b/>
                <w:sz w:val="18"/>
              </w:rPr>
              <w:t>Function</w:t>
            </w:r>
          </w:p>
        </w:tc>
        <w:tc>
          <w:tcPr>
            <w:tcW w:type="dxa" w:w="5272"/>
            <w:shd w:fill="E5EEF0"/>
          </w:tcPr>
          <w:p>
            <w:pPr>
              <w:keepNext/>
              <w:spacing w:after="80" w:before="80"/>
            </w:pPr>
            <w:r>
              <w:rPr>
                <w:b/>
                <w:sz w:val="18"/>
              </w:rPr>
              <w:t>Responsible post / authority</w:t>
            </w:r>
          </w:p>
        </w:tc>
      </w:tr>
      <w:tr>
        <w:trPr>
          <w:cantSplit/>
        </w:trPr>
        <w:tc>
          <w:tcPr>
            <w:tcW w:type="dxa" w:w="4365"/>
          </w:tcPr>
          <w:p>
            <w:pPr>
              <w:keepNext w:val="0"/>
              <w:spacing w:after="80" w:before="80"/>
            </w:pPr>
            <w:r>
              <w:rPr>
                <w:b w:val="0"/>
                <w:sz w:val="18"/>
              </w:rPr>
              <w:t>Programme owner: management and resources</w:t>
            </w:r>
          </w:p>
        </w:tc>
        <w:tc>
          <w:tcPr>
            <w:tcW w:type="dxa" w:w="5272"/>
          </w:tcPr>
          <w:p>
            <w:pPr>
              <w:keepNext w:val="0"/>
              <w:spacing w:after="80" w:before="80"/>
            </w:pPr>
            <w:sdt>
              <w:sdtPr>
                <w:id w:val="93"/>
                <w:tag w:val="pick:choice:93"/>
                <w:alias w:val="Choose or edit"/>
                <w:rPr>
                  <w:highlight w:val="yellow"/>
                </w:rPr>
                <w:dropDownList w:lastValue="Continuing Airworthiness Manager">
                  <w:listItem w:value="Continuing Airworthiness Manager" w:displayText="Continuing Airworthiness Manager"/>
                  <w:listItem w:value="Technical Services Manager" w:displayText="Technical Services Manager"/>
                  <w:listItem w:value="Reliability Engineer" w:displayText="Reliability Engineer"/>
                </w:dropDownList>
              </w:sdtPr>
              <w:sdtContent>
                <w:r>
                  <w:rPr>
                    <w:highlight w:val="yellow"/>
                  </w:rPr>
                  <w:t xml:space="preserve">Continuing Airworthiness Manager</w:t>
                </w:r>
              </w:sdtContent>
            </w:sdt>
          </w:p>
        </w:tc>
      </w:tr>
      <w:tr>
        <w:trPr>
          <w:cantSplit/>
        </w:trPr>
        <w:tc>
          <w:tcPr>
            <w:tcW w:type="dxa" w:w="4365"/>
          </w:tcPr>
          <w:p>
            <w:pPr>
              <w:keepNext w:val="0"/>
              <w:spacing w:after="80" w:before="80"/>
            </w:pPr>
            <w:r>
              <w:rPr>
                <w:b w:val="0"/>
                <w:sz w:val="18"/>
              </w:rPr>
              <w:t>Reliability engineer: fleet, source data and checks</w:t>
            </w:r>
          </w:p>
        </w:tc>
        <w:tc>
          <w:tcPr>
            <w:tcW w:type="dxa" w:w="5272"/>
          </w:tcPr>
          <w:p>
            <w:pPr>
              <w:keepNext w:val="0"/>
              <w:spacing w:after="80" w:before="80"/>
            </w:pPr>
            <w:sdt>
              <w:sdtPr>
                <w:id w:val="94"/>
                <w:tag w:val="pick:choice:94"/>
                <w:alias w:val="Choose or edit"/>
                <w:rPr>
                  <w:highlight w:val="yellow"/>
                </w:rPr>
                <w:dropDownList w:lastValue="Reliability Engineer">
                  <w:listItem w:value="Reliability Engineer" w:displayText="Reliability Engineer"/>
                  <w:listItem w:value="Continuing Airworthiness Engineer" w:displayText="Continuing Airworthiness Engineer"/>
                  <w:listItem w:value="Technical Services Engineer" w:displayText="Technical Services Engineer"/>
                </w:dropDownList>
              </w:sdtPr>
              <w:sdtContent>
                <w:r>
                  <w:rPr>
                    <w:highlight w:val="yellow"/>
                  </w:rPr>
                  <w:t xml:space="preserve">Reliability Engineer</w:t>
                </w:r>
              </w:sdtContent>
            </w:sdt>
            <w:r>
              <w:rPr>
                <w:b w:val="0"/>
                <w:sz w:val="18"/>
              </w:rPr>
              <w:t>; nominated competent deputy when absent</w:t>
            </w:r>
          </w:p>
        </w:tc>
      </w:tr>
      <w:tr>
        <w:trPr>
          <w:cantSplit/>
        </w:trPr>
        <w:tc>
          <w:tcPr>
            <w:tcW w:type="dxa" w:w="4365"/>
          </w:tcPr>
          <w:p>
            <w:pPr>
              <w:keepNext w:val="0"/>
              <w:spacing w:after="80" w:before="80"/>
            </w:pPr>
            <w:r>
              <w:rPr>
                <w:b w:val="0"/>
                <w:sz w:val="18"/>
              </w:rPr>
              <w:t>Analysis, proposals and report preparation</w:t>
            </w:r>
          </w:p>
        </w:tc>
        <w:tc>
          <w:tcPr>
            <w:tcW w:type="dxa" w:w="5272"/>
          </w:tcPr>
          <w:p>
            <w:pPr>
              <w:keepNext w:val="0"/>
              <w:spacing w:after="80" w:before="80"/>
            </w:pPr>
            <w:r>
              <w:rPr>
                <w:b w:val="0"/>
                <w:sz w:val="18"/>
              </w:rPr>
              <w:t>reliability engineer</w:t>
            </w:r>
            <w:r>
              <w:rPr>
                <w:b w:val="0"/>
                <w:sz w:val="18"/>
              </w:rPr>
              <w:t>, or our contracted analyst under CAMO review</w:t>
            </w:r>
          </w:p>
        </w:tc>
      </w:tr>
      <w:tr>
        <w:trPr>
          <w:cantSplit/>
        </w:trPr>
        <w:tc>
          <w:tcPr>
            <w:tcW w:type="dxa" w:w="4365"/>
          </w:tcPr>
          <w:p>
            <w:pPr>
              <w:keepNext w:val="0"/>
              <w:spacing w:after="80" w:before="80"/>
            </w:pPr>
            <w:r>
              <w:rPr>
                <w:b w:val="0"/>
                <w:sz w:val="18"/>
              </w:rPr>
              <w:t>Action and alert-level decisions</w:t>
            </w:r>
          </w:p>
        </w:tc>
        <w:tc>
          <w:tcPr>
            <w:tcW w:type="dxa" w:w="5272"/>
          </w:tcPr>
          <w:p>
            <w:pPr>
              <w:keepNext w:val="0"/>
              <w:spacing w:after="80" w:before="80"/>
            </w:pPr>
            <w:sdt>
              <w:sdtPr>
                <w:id w:val="95"/>
                <w:tag w:val="pick:choice:95"/>
                <w:alias w:val="Choose or edit"/>
                <w:rPr>
                  <w:highlight w:val="yellow"/>
                </w:rPr>
                <w:dropDownList w:lastValue="CAMO reliability group chaired by the programme owner">
                  <w:listItem w:value="CAMO reliability group chaired by the programme owner" w:displayText="CAMO reliability group chaired by the programme owner"/>
                  <w:listItem w:value="Programme owner" w:displayText="Programme owner"/>
                </w:dropDownList>
              </w:sdtPr>
              <w:sdtContent>
                <w:r>
                  <w:rPr>
                    <w:highlight w:val="yellow"/>
                  </w:rPr>
                  <w:t xml:space="preserve">CAMO reliability group chaired by the programme owner</w:t>
                </w:r>
              </w:sdtContent>
            </w:sdt>
          </w:p>
        </w:tc>
      </w:tr>
      <w:tr>
        <w:trPr>
          <w:cantSplit/>
        </w:trPr>
        <w:tc>
          <w:tcPr>
            <w:tcW w:type="dxa" w:w="4365"/>
          </w:tcPr>
          <w:p>
            <w:pPr>
              <w:keepNext w:val="0"/>
              <w:spacing w:after="80" w:before="80"/>
            </w:pPr>
            <w:r>
              <w:rPr>
                <w:b w:val="0"/>
                <w:sz w:val="18"/>
              </w:rPr>
              <w:t>Implementation and effectiveness review</w:t>
            </w:r>
          </w:p>
        </w:tc>
        <w:tc>
          <w:tcPr>
            <w:tcW w:type="dxa" w:w="5272"/>
          </w:tcPr>
          <w:p>
            <w:pPr>
              <w:keepNext w:val="0"/>
              <w:spacing w:after="80" w:before="80"/>
            </w:pPr>
            <w:r>
              <w:rPr>
                <w:b w:val="0"/>
                <w:sz w:val="18"/>
              </w:rPr>
              <w:t xml:space="preserve">The named action owner implements; the </w:t>
            </w:r>
            <w:r>
              <w:rPr>
                <w:b w:val="0"/>
                <w:sz w:val="18"/>
              </w:rPr>
              <w:t>reliability engineer</w:t>
            </w:r>
            <w:r>
              <w:rPr>
                <w:b w:val="0"/>
                <w:sz w:val="18"/>
              </w:rPr>
              <w:t xml:space="preserve"> checks effectiveness and our CAMO decision-maker authorises closure.</w:t>
            </w:r>
          </w:p>
        </w:tc>
      </w:tr>
      <w:tr>
        <w:trPr>
          <w:cantSplit/>
        </w:trPr>
        <w:tc>
          <w:tcPr>
            <w:tcW w:type="dxa" w:w="4365"/>
          </w:tcPr>
          <w:p>
            <w:pPr>
              <w:keepNext w:val="0"/>
              <w:spacing w:after="80" w:before="80"/>
            </w:pPr>
            <w:r>
              <w:rPr>
                <w:b w:val="0"/>
                <w:sz w:val="18"/>
              </w:rPr>
              <w:t>Independent procedure review</w:t>
            </w:r>
          </w:p>
        </w:tc>
        <w:tc>
          <w:tcPr>
            <w:tcW w:type="dxa" w:w="5272"/>
          </w:tcPr>
          <w:p>
            <w:pPr>
              <w:keepNext w:val="0"/>
              <w:spacing w:after="80" w:before="80"/>
            </w:pPr>
            <w:sdt>
              <w:sdtPr>
                <w:id w:val="96"/>
                <w:tag w:val="pick:choice:96"/>
                <w:alias w:val="Choose or edit"/>
                <w:rPr>
                  <w:highlight w:val="yellow"/>
                </w:rPr>
                <w:dropDownList w:lastValue="Compliance Monitoring Manager">
                  <w:listItem w:value="Compliance Monitoring Manager" w:displayText="Compliance Monitoring Manager"/>
                  <w:listItem w:value="independent competent reviewer" w:displayText="independent competent reviewer"/>
                </w:dropDownList>
              </w:sdtPr>
              <w:sdtContent>
                <w:r>
                  <w:rPr>
                    <w:highlight w:val="yellow"/>
                  </w:rPr>
                  <w:t xml:space="preserve">Compliance Monitoring Manager</w:t>
                </w:r>
              </w:sdtContent>
            </w:sdt>
          </w:p>
        </w:tc>
      </w:tr>
      <w:tr>
        <w:trPr>
          <w:cantSplit/>
        </w:trPr>
        <w:tc>
          <w:tcPr>
            <w:tcW w:type="dxa" w:w="4365"/>
          </w:tcPr>
          <w:p>
            <w:pPr>
              <w:keepNext w:val="0"/>
              <w:spacing w:after="80" w:before="80"/>
            </w:pPr>
            <w:r>
              <w:rPr>
                <w:b w:val="0"/>
                <w:sz w:val="18"/>
              </w:rPr>
              <w:t>Operations and maintenance input</w:t>
            </w:r>
          </w:p>
        </w:tc>
        <w:tc>
          <w:tcPr>
            <w:tcW w:type="dxa" w:w="5272"/>
          </w:tcPr>
          <w:p>
            <w:pPr>
              <w:keepNext w:val="0"/>
              <w:spacing w:after="80" w:before="80"/>
            </w:pPr>
            <w:r>
              <w:rPr>
                <w:b w:val="0"/>
                <w:sz w:val="18"/>
              </w:rPr>
              <w:t>Maintenance control and operations representatives; nominated deputies may attend.</w:t>
            </w:r>
          </w:p>
        </w:tc>
      </w:tr>
      <w:tr>
        <w:trPr>
          <w:cantSplit/>
        </w:trPr>
        <w:tc>
          <w:tcPr>
            <w:tcW w:type="dxa" w:w="4365"/>
          </w:tcPr>
          <w:p>
            <w:pPr>
              <w:keepNext w:val="0"/>
              <w:spacing w:after="80" w:before="80"/>
            </w:pPr>
            <w:r>
              <w:rPr>
                <w:b w:val="0"/>
                <w:sz w:val="18"/>
              </w:rPr>
              <w:t>Competent-authority participation</w:t>
            </w:r>
          </w:p>
        </w:tc>
        <w:tc>
          <w:tcPr>
            <w:tcW w:type="dxa" w:w="5272"/>
          </w:tcPr>
          <w:p>
            <w:pPr>
              <w:keepNext w:val="0"/>
              <w:spacing w:after="80" w:before="80"/>
            </w:pPr>
            <w:r>
              <w:rPr>
                <w:b w:val="0"/>
                <w:sz w:val="18"/>
              </w:rPr>
              <w:t xml:space="preserve">The </w:t>
            </w:r>
            <w:r>
              <w:rPr>
                <w:b w:val="0"/>
                <w:sz w:val="18"/>
              </w:rPr>
              <w:t>programme owner</w:t>
            </w:r>
            <w:r>
              <w:rPr>
                <w:b w:val="0"/>
                <w:sz w:val="18"/>
              </w:rPr>
              <w:t xml:space="preserve"> invites the competent authority to scheduled meetings, provides the report and records any attendance or comments. No attendance is presumed.</w:t>
            </w:r>
          </w:p>
        </w:tc>
      </w:tr>
    </w:tbl>
    <w:p>
      <w:r>
        <w:t xml:space="preserve">The </w:t>
      </w:r>
      <w:r>
        <w:t>programme owner</w:t>
      </w:r>
      <w:r>
        <w:t xml:space="preserve"> chairs the reliability group for each routine report, following Report period in section 8. Required participants are the CAMO decision-maker, reliability engineer and maintenance and operations representatives; a nominated competent deputy may attend. The group reviews performance, investigations, proposals and open actions. We record attendance, evidence, decisions, reasons, owners and dates; our CAME records these responsibilities and the decision authority. Our CAMO decision-maker resolves technical disagreements; unresolved safety concerns go immediately to the Accountable Manager and the applicable safety process.</w:t>
      </w:r>
    </w:p>
    <w:p>
      <w:r>
        <w:t xml:space="preserve">We authorise reliability personnel after checking aircraft maintenance experience, training in this programme, data checking, trend interpretation and supervised report preparation. The </w:t>
      </w:r>
      <w:r>
        <w:t>programme owner</w:t>
      </w:r>
      <w:r>
        <w:t xml:space="preserve"> checks competence before appointment and after a method change. Inadequate qualified personnel can lead the authority to reject the programme and AMP (Appendix I 6.3.2). Training and authorisation reference: </w:t>
      </w:r>
      <w:sdt>
        <w:sdtPr>
          <w:id w:val="97"/>
          <w:tag w:val="fact:reference:97"/>
          <w:alias w:val="reference"/>
          <w:rPr>
            <w:highlight w:val="yellow"/>
          </w:rPr>
          <w:placeholder>
            <w:docPart w:val="AvioverseFact97"/>
          </w:placeholder>
          <w:showingPlcHdr/>
          <w:text/>
        </w:sdtPr>
        <w:sdtContent>
          <w:r>
            <w:rPr>
              <w:rStyle w:val="PlaceholderText"/>
              <w:highlight w:val="yellow"/>
            </w:rPr>
            <w:t xml:space="preserve">[e.g. CAME 0.3]</w:t>
          </w:r>
        </w:sdtContent>
      </w:sdt>
      <w:r>
        <w:t>.</w:t>
      </w:r>
    </w:p>
    <w:p>
      <w:r>
        <w:t xml:space="preserve">If a contracted reliability service is selected at the start, provider name: </w:t>
      </w:r>
      <w:sdt>
        <w:sdtPr>
          <w:id w:val="98"/>
          <w:tag w:val="combo:contractor:98"/>
          <w:alias w:val="contractor"/>
          <w:rPr>
            <w:highlight w:val="yellow"/>
          </w:rPr>
          <w:comboBox w:lastValue="Not contracted">
            <w:listItem w:value="Not contracted" w:displayText="Not contracted"/>
          </w:comboBox>
        </w:sdtPr>
        <w:sdtContent>
          <w:r>
            <w:rPr>
              <w:highlight w:val="yellow"/>
            </w:rPr>
            <w:t xml:space="preserve">Not contracted</w:t>
          </w:r>
        </w:sdtContent>
      </w:sdt>
      <w:r>
        <w:t xml:space="preserve">; contract reference: </w:t>
      </w:r>
      <w:sdt>
        <w:sdtPr>
          <w:id w:val="99"/>
          <w:tag w:val="combo:reference:99"/>
          <w:alias w:val="reference"/>
          <w:rPr>
            <w:highlight w:val="yellow"/>
          </w:rPr>
          <w:comboBox w:lastValue="Not contracted">
            <w:listItem w:value="Not contracted" w:displayText="Not contracted"/>
          </w:comboBox>
        </w:sdtPr>
        <w:sdtContent>
          <w:r>
            <w:rPr>
              <w:highlight w:val="yellow"/>
            </w:rPr>
            <w:t xml:space="preserve">Not contracted</w:t>
          </w:r>
        </w:sdtContent>
      </w:sdt>
      <w:r>
        <w:t>. Before the service starts, our contract and the relevant expositions and procedures define the contracted development, collection, analysis, reporting and proposal work. Our CAMO manages the programme. We check the provider's competence and sample its reports. Our CAMO retains every action decision.</w:t>
      </w:r>
    </w:p>
    <w:p>
      <w:r>
        <w:t xml:space="preserve">We retain copies of source data, checked registers, mappings, calculation settings, reports and open actions in our controlled records. Before a contract ends, the </w:t>
      </w:r>
      <w:r>
        <w:t>programme owner</w:t>
      </w:r>
      <w:r>
        <w:t xml:space="preserve"> obtains a complete usable export, checks it against our records and assigns the next report to our staff or a replacement provider. A service change does not interrupt monitoring or transfer our decision responsibility.</w:t>
      </w:r>
    </w:p>
    <w:p>
      <w:pPr>
        <w:pStyle w:val="Fillinghint"/>
      </w:pPr>
      <w:r>
        <w:t>Keep this text if it describes how you work; change the yellow words if not.</w:t>
      </w:r>
    </w:p>
    <w:p>
      <w:pPr>
        <w:pStyle w:val="Heading1"/>
      </w:pPr>
      <w:r>
        <w:t>14. Reports to the competent authority</w:t>
      </w:r>
      <w:r>
        <w:rPr>
          <w:color w:val="50636A"/>
          <w:sz w:val="18"/>
        </w:rPr>
        <w:br/>
        <w:t>Appendix I 6.5.9(a)–(c)</w:t>
        <w:t xml:space="preserve"> | AC 120-17B 7.1.1–7.1.4</w:t>
      </w:r>
    </w:p>
    <w:p>
      <w:r>
        <w:t>We submit the routine report format, content, production timescales and distribution for approval as part of this programme. Proposed AMP amendments or interval increases include the supporting report in section 16, with enough detail for the competent authority to assess the proposal.</w:t>
      </w:r>
    </w:p>
    <w:p>
      <w:r>
        <w:t>The routine report identifies the programme revision, aircraft scope and period. It contains the summary and comparison, alerts with evidence, events, repetitive defects, aircraft comparisons, applicable component and task analyses, open actions, charts, data checks, method and level status, and monitored chapters with nil returns. It shows progress and effectiveness of previous corrective actions and programme changes.</w:t>
      </w:r>
    </w:p>
    <w:p>
      <w:r>
        <w:t xml:space="preserve">We prepare the section 9 report within </w:t>
      </w:r>
      <w:sdt>
        <w:sdtPr>
          <w:id w:val="100"/>
          <w:tag w:val="combo:choice:100"/>
          <w:alias w:val="Choose or edit"/>
          <w:rPr>
            <w:highlight w:val="yellow"/>
          </w:rPr>
          <w:comboBox w:lastValue="30 days">
            <w:listItem w:value="30 days" w:displayText="30 days"/>
            <w:listItem w:value="20 days" w:displayText="20 days"/>
            <w:listItem w:value="45 days" w:displayText="45 days"/>
          </w:comboBox>
        </w:sdtPr>
        <w:sdtContent>
          <w:r>
            <w:rPr>
              <w:highlight w:val="yellow"/>
            </w:rPr>
            <w:t xml:space="preserve">30 days</w:t>
          </w:r>
        </w:sdtContent>
      </w:sdt>
      <w:r>
        <w:t xml:space="preserve"> after period end. The </w:t>
      </w:r>
      <w:r>
        <w:t>programme owner</w:t>
      </w:r>
      <w:r>
        <w:t xml:space="preserve"> reviews and releases it within </w:t>
      </w:r>
      <w:sdt>
        <w:sdtPr>
          <w:id w:val="101"/>
          <w:tag w:val="combo:choice:101"/>
          <w:alias w:val="Choose or edit"/>
          <w:rPr>
            <w:highlight w:val="yellow"/>
          </w:rPr>
          <w:comboBox w:lastValue="5 working days">
            <w:listItem w:value="5 working days" w:displayText="5 working days"/>
            <w:listItem w:value="3 working days" w:displayText="3 working days"/>
            <w:listItem w:value="10 working days" w:displayText="10 working days"/>
          </w:comboBox>
        </w:sdtPr>
        <w:sdtContent>
          <w:r>
            <w:rPr>
              <w:highlight w:val="yellow"/>
            </w:rPr>
            <w:t xml:space="preserve">5 working days</w:t>
          </w:r>
        </w:sdtContent>
      </w:sdt>
      <w:r>
        <w:t xml:space="preserve">. We send it to the competent authority contact </w:t>
      </w:r>
      <w:sdt>
        <w:sdtPr>
          <w:id w:val="102"/>
          <w:tag w:val="fact:name:102"/>
          <w:alias w:val="name"/>
          <w:rPr>
            <w:highlight w:val="yellow"/>
          </w:rPr>
          <w:placeholder>
            <w:docPart w:val="AvioverseFact102"/>
          </w:placeholder>
          <w:showingPlcHdr/>
          <w:text/>
        </w:sdtPr>
        <w:sdtContent>
          <w:r>
            <w:rPr>
              <w:rStyle w:val="PlaceholderText"/>
              <w:highlight w:val="yellow"/>
            </w:rPr>
            <w:t xml:space="preserve">[e.g. Authority focal point]</w:t>
          </w:r>
        </w:sdtContent>
      </w:sdt>
      <w:r>
        <w:t xml:space="preserve"> and the CAMO, maintenance and operations representatives by </w:t>
      </w:r>
      <w:sdt>
        <w:sdtPr>
          <w:id w:val="103"/>
          <w:tag w:val="pick:choice:103"/>
          <w:alias w:val="Choose or edit"/>
          <w:rPr>
            <w:highlight w:val="yellow"/>
          </w:rPr>
          <w:dropDownList w:lastValue="controlled electronic issue with a receipt record">
            <w:listItem w:value="controlled electronic issue with a receipt record" w:displayText="controlled electronic issue with a receipt record"/>
            <w:listItem w:value="the authority submission portal and controlled internal issue" w:displayText="the authority submission portal and controlled internal issue"/>
          </w:dropDownList>
        </w:sdtPr>
        <w:sdtContent>
          <w:r>
            <w:rPr>
              <w:highlight w:val="yellow"/>
            </w:rPr>
            <w:t xml:space="preserve">controlled electronic issue with a receipt record</w:t>
          </w:r>
        </w:sdtContent>
      </w:sdt>
      <w:r>
        <w:t>.</w:t>
      </w:r>
    </w:p>
    <w:p>
      <w:r>
        <w:t xml:space="preserve">We use the report format and any separate reference selected in section 9. We label unresolved evidence provisional, identify the missing records and issue a dated correction to the same recipients when it is resolved. Amendment proposals use the evidence package in section 16, referenced as </w:t>
      </w:r>
      <w:sdt>
        <w:sdtPr>
          <w:id w:val="104"/>
          <w:tag w:val="combo:reference:104"/>
          <w:alias w:val="reference"/>
          <w:rPr>
            <w:highlight w:val="yellow"/>
          </w:rPr>
          <w:comboBox w:lastValue="Not issued yet">
            <w:listItem w:value="Not issued yet" w:displayText="Not issued yet"/>
          </w:comboBox>
        </w:sdtPr>
        <w:sdtContent>
          <w:r>
            <w:rPr>
              <w:highlight w:val="yellow"/>
            </w:rPr>
            <w:t xml:space="preserve">Not issued yet</w:t>
          </w:r>
        </w:sdtContent>
      </w:sdt>
      <w:r>
        <w:t>.</w:t>
      </w:r>
    </w:p>
    <w:p>
      <w:pPr>
        <w:pStyle w:val="Fillinghint"/>
      </w:pPr>
      <w:r>
        <w:t>Keep this text if it describes how you work; change the yellow words if not.</w:t>
      </w:r>
    </w:p>
    <w:p>
      <w:pPr>
        <w:pStyle w:val="Heading1"/>
      </w:pPr>
      <w:r>
        <w:t>15. Evaluation and review of the programme</w:t>
      </w:r>
      <w:r>
        <w:rPr>
          <w:color w:val="50636A"/>
          <w:sz w:val="18"/>
        </w:rPr>
        <w:br/>
        <w:t>Appendix I 6.5.10; 6.5.10.1–6.5.10.2</w:t>
        <w:t xml:space="preserve"> | AC 120-17B 2.3</w:t>
        <w:t xml:space="preserve"> | M.A.302(h); AMC M.A.302, Basic principles 3</w:t>
      </w:r>
    </w:p>
    <w:p>
      <w:r>
        <w:t>M.A.302(h) requires periodic AMP review; AMC M.A.302 Basic principles 3 calls for review of the AMP details at least annually. Our programme review below supports that process. A settings change needs a controlled programme revision and consistent future reports.</w:t>
      </w:r>
    </w:p>
    <w:p>
      <w:r>
        <w:t xml:space="preserve">The </w:t>
      </w:r>
      <w:r>
        <w:t>programme owner</w:t>
      </w:r>
      <w:r>
        <w:t xml:space="preserve"> reviews this programme </w:t>
      </w:r>
      <w:sdt>
        <w:sdtPr>
          <w:id w:val="105"/>
          <w:tag w:val="pick:choice:105"/>
          <w:alias w:val="Choose or edit"/>
          <w:rPr>
            <w:highlight w:val="yellow"/>
          </w:rPr>
          <w:dropDownList w:lastValue="annually">
            <w:listItem w:value="annually" w:displayText="annually"/>
            <w:listItem w:value="every six months" w:displayText="every six months"/>
          </w:dropDownList>
        </w:sdtPr>
        <w:sdtContent>
          <w:r>
            <w:rPr>
              <w:highlight w:val="yellow"/>
            </w:rPr>
            <w:t xml:space="preserve">annually</w:t>
          </w:r>
        </w:sdtContent>
      </w:sdt>
      <w:r>
        <w:t xml:space="preserve"> with the annual AMP review under </w:t>
      </w:r>
      <w:sdt>
        <w:sdtPr>
          <w:id w:val="106"/>
          <w:tag w:val="fact:reference:106"/>
          <w:alias w:val="reference"/>
          <w:rPr>
            <w:highlight w:val="yellow"/>
          </w:rPr>
          <w:placeholder>
            <w:docPart w:val="AvioverseFact106"/>
          </w:placeholder>
          <w:showingPlcHdr/>
          <w:text/>
        </w:sdtPr>
        <w:sdtContent>
          <w:r>
            <w:rPr>
              <w:rStyle w:val="PlaceholderText"/>
              <w:highlight w:val="yellow"/>
            </w:rPr>
            <w:t xml:space="preserve">[e.g. CAME 1.5]</w:t>
          </w:r>
        </w:sdtContent>
      </w:sdt>
      <w:r>
        <w:t>. Between reviews the programme owner monitors effectiveness continuously. The reliability group records the evidence, conclusions, actions and any controlled revision.</w:t>
      </w:r>
    </w:p>
    <w:p>
      <w:r>
        <w:t xml:space="preserve">We start an additional review immediately after a safety-significant event, and within </w:t>
      </w:r>
      <w:sdt>
        <w:sdtPr>
          <w:id w:val="107"/>
          <w:tag w:val="combo:choice:107"/>
          <w:alias w:val="Choose or edit"/>
          <w:rPr>
            <w:highlight w:val="yellow"/>
          </w:rPr>
          <w:comboBox w:lastValue="30 days">
            <w:listItem w:value="30 days" w:displayText="30 days"/>
            <w:listItem w:value="14 days" w:displayText="14 days"/>
          </w:comboBox>
        </w:sdtPr>
        <w:sdtContent>
          <w:r>
            <w:rPr>
              <w:highlight w:val="yellow"/>
            </w:rPr>
            <w:t xml:space="preserve">30 days</w:t>
          </w:r>
        </w:sdtContent>
      </w:sdt>
      <w:r>
        <w:t xml:space="preserve"> of repeated alerts, a major fleet or operating change, an audit finding or evidence the method misses deterioration. We check high, low and seasonal utilisation, fleet commonality, alert-adjustment criteria, data adequacy, audit results, staff training, and operational and maintenance procedures. We review current manufacturer and authority information and changes to the AMP basis. We check whether significant problems were detected, decisions were timely, actions worked and all controlled items remained covered. Urgent action does not wait for completion of the programme review.</w:t>
      </w:r>
    </w:p>
    <w:p>
      <w:pPr>
        <w:pStyle w:val="Fillinghint"/>
      </w:pPr>
      <w:r>
        <w:t>Keep this text if it describes how you work; change the yellow words if not.</w:t>
      </w:r>
    </w:p>
    <w:p>
      <w:pPr>
        <w:pStyle w:val="Heading1"/>
      </w:pPr>
      <w:r>
        <w:t>16. Maintenance programme amendments</w:t>
      </w:r>
      <w:r>
        <w:rPr>
          <w:color w:val="50636A"/>
          <w:sz w:val="18"/>
        </w:rPr>
        <w:br/>
        <w:t>Appendix I 6.5.7.2; 6.5.9(c); 6.5.11(a)–(b)</w:t>
        <w:t xml:space="preserve"> | AC 120-17B 5.2–5.3 (analysis methods only)</w:t>
        <w:t xml:space="preserve"> | M.A.302(b)–(e), (h); M.A.301(f)</w:t>
      </w:r>
    </w:p>
    <w:p>
      <w:r>
        <w:t>M.A.302(b) requires approval of the AMP and its amendments. M.A.302(c) permits indirect approval only through an authority-approved CAME or CAE procedure and under its oversight conditions. The CAMO or CAO must be under the oversight of the Member State of registry, unless the written transfer arrangement described in M.A.302(c) applies.</w:t>
      </w:r>
    </w:p>
    <w:p>
      <w:r>
        <w:t>Appendix I 6.5.11 describes authority authorisation for changes before formal approval when the programme comprehensively monitors AMP content and the reliability group provides appropriate internal control. It does not grant that authorisation by itself; our use is limited to the actual authority-approved procedure.</w:t>
      </w:r>
    </w:p>
    <w:p>
      <w:r>
        <w:t>Under M.A.302(e), proposals to escalate intervals need data from sufficient reviews under M.A.302(h). Indirect approval is not permitted for the escalation of safety-related tasks. Mandatory constraints and applicable instructions under M.A.302(d) and M.A.301(f) still apply.</w:t>
      </w:r>
    </w:p>
    <w:p>
      <w:r>
        <w:t xml:space="preserve">Our normal AMP amendment route is </w:t>
      </w:r>
      <w:sdt>
        <w:sdtPr>
          <w:id w:val="108"/>
          <w:tag w:val="pick:choice:108"/>
          <w:alias w:val="Choose or edit"/>
          <w:rPr>
            <w:highlight w:val="yellow"/>
          </w:rPr>
          <w:dropDownList w:lastValue="direct submission to the competent authority">
            <w:listItem w:value="direct submission to the competent authority" w:displayText="direct submission to the competent authority"/>
            <w:listItem w:value="the indirect procedure already authorised in our CAME, within its scope" w:displayText="the indirect procedure already authorised in our CAME, within its scope"/>
          </w:dropDownList>
        </w:sdtPr>
        <w:sdtContent>
          <w:r>
            <w:rPr>
              <w:highlight w:val="yellow"/>
            </w:rPr>
            <w:t xml:space="preserve">direct submission to the competent authority</w:t>
          </w:r>
        </w:sdtContent>
      </w:sdt>
      <w:r>
        <w:t xml:space="preserve">. Procedure or submission reference: </w:t>
      </w:r>
      <w:sdt>
        <w:sdtPr>
          <w:id w:val="109"/>
          <w:tag w:val="fact:reference:109"/>
          <w:alias w:val="reference"/>
          <w:rPr>
            <w:highlight w:val="yellow"/>
          </w:rPr>
          <w:placeholder>
            <w:docPart w:val="AvioverseFact109"/>
          </w:placeholder>
          <w:showingPlcHdr/>
          <w:text/>
        </w:sdtPr>
        <w:sdtContent>
          <w:r>
            <w:rPr>
              <w:rStyle w:val="PlaceholderText"/>
              <w:highlight w:val="yellow"/>
            </w:rPr>
            <w:t xml:space="preserve">[e.g. CAME 1.2]</w:t>
          </w:r>
        </w:sdtContent>
      </w:sdt>
      <w:r>
        <w:t>. We use an indirect route only when its actual approval, aircraft oversight conditions and scope permit it; we submit safety-related task escalations directly.</w:t>
      </w:r>
    </w:p>
    <w:p>
      <w:r>
        <w:t xml:space="preserve">The </w:t>
      </w:r>
      <w:r>
        <w:t>reliability engineer</w:t>
      </w:r>
      <w:r>
        <w:t xml:space="preserve"> prepares the proposed task change, source and mandatory status, affected aircraft, reliability evidence, engineering justification, planned completion and follow-up. The </w:t>
      </w:r>
      <w:r>
        <w:t>programme owner</w:t>
      </w:r>
      <w:r>
        <w:t xml:space="preserve"> checks the approval route and submits or authorises only within the actual privilege. After approval, maintenance planning updates the AMP, work instructions and affected records, records the effective date, affected aircraft and transition arrangements, and checks the result at the next reliability reviews. We retain the approval and supporting evidence.</w:t>
      </w:r>
    </w:p>
    <w:p>
      <w:r>
        <w:t>Before submission we check ADs, airworthiness limitations, safety-related tasks and other mandatory instructions. We include the proposed wording, current and proposed interval, supporting reviews, aircraft applicability, approval route, implementation plan and effectiveness check in the amendment package. A favourable rate or yield does not replace approval.</w:t>
      </w:r>
    </w:p>
    <w:p>
      <w:pPr>
        <w:pStyle w:val="Heading1"/>
      </w:pPr>
      <w:r>
        <w:t>17. Pooling arrangements — optional</w:t>
      </w:r>
      <w:r>
        <w:rPr>
          <w:color w:val="50636A"/>
          <w:sz w:val="18"/>
        </w:rPr>
        <w:br/>
        <w:t>Appendix I 6.6.1–6.6.5; 6.2.6–6.2.7</w:t>
      </w:r>
    </w:p>
    <w:p>
      <w:r>
        <w:t xml:space="preserve">Pooling: </w:t>
      </w:r>
      <w:sdt>
        <w:sdtPr>
          <w:id w:val="110"/>
          <w:tag w:val="pick:choice:110"/>
          <w:alias w:val="Choose or edit"/>
          <w:rPr>
            <w:highlight w:val="yellow"/>
          </w:rPr>
          <w:dropDownList w:lastValue="Not used">
            <w:listItem w:value="Not used" w:displayText="Not used"/>
            <w:listItem w:value="Used" w:displayText="Used"/>
          </w:dropDownList>
        </w:sdtPr>
        <w:sdtContent>
          <w:r>
            <w:rPr>
              <w:highlight w:val="yellow"/>
            </w:rPr>
            <w:t xml:space="preserve">Not used</w:t>
          </w:r>
        </w:sdtContent>
      </w:sdt>
      <w:r>
        <w:t>. If Not used, we use our own data and relevant comparisons under section 10.7. If Used, we follow the checks below and obtain competent-authority acceptance before starting; this selection is not evidence of approval.</w:t>
      </w:r>
    </w:p>
    <w:p>
      <w:r>
        <w:t>Substantial commonality is needed, and the competent authority decides acceptability case by case. For a lease shorter than six months it may allow more flexibility; we rely only on the acceptance actually given. A manufacturer-managed programme is usable when the authority is satisfied that it meets the intent of Appendix I 6.6.</w:t>
      </w:r>
    </w:p>
    <w:p>
      <w:r>
        <w:t xml:space="preserve">When Used, the participant or manufacturer is </w:t>
      </w:r>
      <w:sdt>
        <w:sdtPr>
          <w:id w:val="111"/>
          <w:tag w:val="combo:contractor:111"/>
          <w:alias w:val="contractor"/>
          <w:rPr>
            <w:highlight w:val="yellow"/>
          </w:rPr>
          <w:comboBox w:lastValue="No pooling">
            <w:listItem w:value="No pooling" w:displayText="No pooling"/>
          </w:comboBox>
        </w:sdtPr>
        <w:sdtContent>
          <w:r>
            <w:rPr>
              <w:highlight w:val="yellow"/>
            </w:rPr>
            <w:t xml:space="preserve">No pooling</w:t>
          </w:r>
        </w:sdtContent>
      </w:sdt>
      <w:r>
        <w:t xml:space="preserve">; agreement reference: </w:t>
      </w:r>
      <w:sdt>
        <w:sdtPr>
          <w:id w:val="112"/>
          <w:tag w:val="combo:reference:112"/>
          <w:alias w:val="reference"/>
          <w:rPr>
            <w:highlight w:val="yellow"/>
          </w:rPr>
          <w:comboBox w:lastValue="No pooling">
            <w:listItem w:value="No pooling" w:displayText="No pooling"/>
          </w:comboBox>
        </w:sdtPr>
        <w:sdtContent>
          <w:r>
            <w:rPr>
              <w:highlight w:val="yellow"/>
            </w:rPr>
            <w:t xml:space="preserve">No pooling</w:t>
          </w:r>
        </w:sdtContent>
      </w:sdt>
      <w:r>
        <w:t xml:space="preserve">; authority approval reference, only once issued: </w:t>
      </w:r>
      <w:sdt>
        <w:sdtPr>
          <w:id w:val="113"/>
          <w:tag w:val="combo:reference:113"/>
          <w:alias w:val="reference"/>
          <w:rPr>
            <w:highlight w:val="yellow"/>
          </w:rPr>
          <w:comboBox w:lastValue="No pooling">
            <w:listItem w:value="No pooling" w:displayText="No pooling"/>
          </w:comboBox>
        </w:sdtPr>
        <w:sdtContent>
          <w:r>
            <w:rPr>
              <w:highlight w:val="yellow"/>
            </w:rPr>
            <w:t xml:space="preserve">No pooling</w:t>
          </w:r>
        </w:sdtContent>
      </w:sdt>
      <w:r>
        <w:t>.</w:t>
      </w:r>
    </w:p>
    <w:p>
      <w:r>
        <w:t xml:space="preserve">The </w:t>
      </w:r>
      <w:r>
        <w:t>reliability engineer</w:t>
      </w:r>
      <w:r>
        <w:t xml:space="preserve"> compares variant, modifications and SB status, operating environment, utilisation, fleet size, operating approvals and rules, operating procedures, minimum-equipment-list use, age, maintenance standards and procedures, lubrication, MPD revisions and escalations before combining data. We keep source identity and units, exchange checked data </w:t>
      </w:r>
      <w:sdt>
        <w:sdtPr>
          <w:id w:val="114"/>
          <w:tag w:val="pick:choice:114"/>
          <w:alias w:val="Choose or edit"/>
          <w:rPr>
            <w:highlight w:val="yellow"/>
          </w:rPr>
          <w:dropDownList w:lastValue="monthly">
            <w:listItem w:value="monthly" w:displayText="monthly"/>
            <w:listItem w:value="quarterly" w:displayText="quarterly"/>
          </w:dropDownList>
        </w:sdtPr>
        <w:sdtContent>
          <w:r>
            <w:rPr>
              <w:highlight w:val="yellow"/>
            </w:rPr>
            <w:t xml:space="preserve">monthly</w:t>
          </w:r>
        </w:sdtContent>
      </w:sdt>
      <w:r>
        <w:t xml:space="preserve">, and reject non-comparable records. The </w:t>
      </w:r>
      <w:r>
        <w:t>programme owner</w:t>
      </w:r>
      <w:r>
        <w:t xml:space="preserve"> submits the commonality evidence and obtains authority approval before a formal agreement is signed.</w:t>
      </w:r>
    </w:p>
    <w:p>
      <w:r>
        <w:t xml:space="preserve">We require participants to notify changes to aircraft, operation or maintenance. The </w:t>
      </w:r>
      <w:r>
        <w:t>reliability engineer</w:t>
      </w:r>
      <w:r>
        <w:t xml:space="preserve"> checks each change before the next combined analysis; we separate affected data and refer material changes to the competent authority. A short lease or manufacturer scheme gives no automatic acceptance.</w:t>
      </w:r>
    </w:p>
    <w:p>
      <w:pPr>
        <w:pStyle w:val="Heading1"/>
      </w:pPr>
      <w:r>
        <w:t>A. Source cross-reference</w:t>
      </w:r>
      <w:r>
        <w:rPr>
          <w:color w:val="50636A"/>
          <w:sz w:val="18"/>
        </w:rPr>
        <w:br/>
        <w:t>Appendix I 6.1–6.6</w:t>
      </w:r>
    </w:p>
    <w:p>
      <w:r>
        <w:t>This table covers every numbered point in Appendix I section 6, including its lettered lists. It identifies where to check the adapted procedure. It does not certify coverage after editing. The references beside each heading also identify supporting FAA methods and Part-M provisions.</w:t>
      </w:r>
    </w:p>
    <w:tbl>
      <w:tblPr>
        <w:tblStyle w:val="TableGrid"/>
        <w:tblW w:type="auto" w:w="0"/>
        <w:tblLayout w:type="fixed"/>
        <w:tblLook w:firstColumn="1" w:firstRow="1" w:lastColumn="0" w:lastRow="0" w:noHBand="0" w:noVBand="1" w:val="04A0"/>
      </w:tblPr>
      <w:tblGrid>
        <w:gridCol w:w="1757"/>
        <w:gridCol w:w="5896"/>
        <w:gridCol w:w="1984"/>
      </w:tblGrid>
      <w:tr>
        <w:trPr>
          <w:cantSplit/>
          <w:tblHeader/>
        </w:trPr>
        <w:tc>
          <w:tcPr>
            <w:tcW w:type="dxa" w:w="1757"/>
            <w:shd w:fill="E5EEF0"/>
          </w:tcPr>
          <w:p>
            <w:pPr>
              <w:keepNext/>
              <w:spacing w:after="80" w:before="80"/>
            </w:pPr>
            <w:r>
              <w:rPr>
                <w:b/>
                <w:sz w:val="18"/>
              </w:rPr>
              <w:t>Appendix I point</w:t>
            </w:r>
          </w:p>
        </w:tc>
        <w:tc>
          <w:tcPr>
            <w:tcW w:type="dxa" w:w="5896"/>
            <w:shd w:fill="E5EEF0"/>
          </w:tcPr>
          <w:p>
            <w:pPr>
              <w:keepNext/>
              <w:spacing w:after="80" w:before="80"/>
            </w:pPr>
            <w:r>
              <w:rPr>
                <w:b/>
                <w:sz w:val="18"/>
              </w:rPr>
              <w:t>Subject</w:t>
            </w:r>
          </w:p>
        </w:tc>
        <w:tc>
          <w:tcPr>
            <w:tcW w:type="dxa" w:w="1984"/>
            <w:shd w:fill="E5EEF0"/>
          </w:tcPr>
          <w:p>
            <w:pPr>
              <w:keepNext/>
              <w:spacing w:after="80" w:before="80"/>
            </w:pPr>
            <w:r>
              <w:rPr>
                <w:b/>
                <w:sz w:val="18"/>
              </w:rPr>
              <w:t>Programme section</w:t>
            </w:r>
          </w:p>
        </w:tc>
      </w:tr>
      <w:tr>
        <w:trPr>
          <w:cantSplit/>
        </w:trPr>
        <w:tc>
          <w:tcPr>
            <w:tcW w:type="dxa" w:w="1757"/>
          </w:tcPr>
          <w:p>
            <w:pPr>
              <w:keepNext w:val="0"/>
              <w:spacing w:after="80" w:before="80"/>
            </w:pPr>
            <w:r>
              <w:rPr>
                <w:b w:val="0"/>
                <w:sz w:val="18"/>
              </w:rPr>
              <w:t>6</w:t>
            </w:r>
          </w:p>
        </w:tc>
        <w:tc>
          <w:tcPr>
            <w:tcW w:type="dxa" w:w="5896"/>
          </w:tcPr>
          <w:p>
            <w:pPr>
              <w:keepNext w:val="0"/>
              <w:spacing w:after="80" w:before="80"/>
            </w:pPr>
            <w:r>
              <w:rPr>
                <w:b w:val="0"/>
                <w:sz w:val="18"/>
              </w:rPr>
              <w:t>Programme framework</w:t>
            </w:r>
          </w:p>
        </w:tc>
        <w:tc>
          <w:tcPr>
            <w:tcW w:type="dxa" w:w="1984"/>
          </w:tcPr>
          <w:p>
            <w:pPr>
              <w:keepNext w:val="0"/>
              <w:spacing w:after="80" w:before="80"/>
            </w:pPr>
            <w:r>
              <w:rPr>
                <w:b w:val="0"/>
                <w:sz w:val="18"/>
              </w:rPr>
              <w:t>2–17</w:t>
            </w:r>
          </w:p>
        </w:tc>
      </w:tr>
      <w:tr>
        <w:trPr>
          <w:cantSplit/>
        </w:trPr>
        <w:tc>
          <w:tcPr>
            <w:tcW w:type="dxa" w:w="1757"/>
          </w:tcPr>
          <w:p>
            <w:pPr>
              <w:keepNext w:val="0"/>
              <w:spacing w:after="80" w:before="80"/>
            </w:pPr>
            <w:r>
              <w:rPr>
                <w:b w:val="0"/>
                <w:sz w:val="18"/>
              </w:rPr>
              <w:t>6.1</w:t>
            </w:r>
          </w:p>
        </w:tc>
        <w:tc>
          <w:tcPr>
            <w:tcW w:type="dxa" w:w="5896"/>
          </w:tcPr>
          <w:p>
            <w:pPr>
              <w:keepNext w:val="0"/>
              <w:spacing w:after="80" w:before="80"/>
            </w:pPr>
            <w:r>
              <w:rPr>
                <w:b w:val="0"/>
                <w:sz w:val="18"/>
              </w:rPr>
              <w:t>Applicability</w:t>
            </w:r>
          </w:p>
        </w:tc>
        <w:tc>
          <w:tcPr>
            <w:tcW w:type="dxa" w:w="1984"/>
          </w:tcPr>
          <w:p>
            <w:pPr>
              <w:keepNext w:val="0"/>
              <w:spacing w:after="80" w:before="80"/>
            </w:pPr>
            <w:r>
              <w:rPr>
                <w:b w:val="0"/>
                <w:sz w:val="18"/>
              </w:rPr>
              <w:t>2</w:t>
            </w:r>
          </w:p>
        </w:tc>
      </w:tr>
      <w:tr>
        <w:trPr>
          <w:cantSplit/>
        </w:trPr>
        <w:tc>
          <w:tcPr>
            <w:tcW w:type="dxa" w:w="1757"/>
          </w:tcPr>
          <w:p>
            <w:pPr>
              <w:keepNext w:val="0"/>
              <w:spacing w:after="80" w:before="80"/>
            </w:pPr>
            <w:r>
              <w:rPr>
                <w:b w:val="0"/>
                <w:sz w:val="18"/>
              </w:rPr>
              <w:t>6.1.1</w:t>
            </w:r>
          </w:p>
        </w:tc>
        <w:tc>
          <w:tcPr>
            <w:tcW w:type="dxa" w:w="5896"/>
          </w:tcPr>
          <w:p>
            <w:pPr>
              <w:keepNext w:val="0"/>
              <w:spacing w:after="80" w:before="80"/>
            </w:pPr>
            <w:r>
              <w:rPr>
                <w:b w:val="0"/>
                <w:sz w:val="18"/>
              </w:rPr>
              <w:t>Triggers (a)–(d)</w:t>
            </w:r>
          </w:p>
        </w:tc>
        <w:tc>
          <w:tcPr>
            <w:tcW w:type="dxa" w:w="1984"/>
          </w:tcPr>
          <w:p>
            <w:pPr>
              <w:keepNext w:val="0"/>
              <w:spacing w:after="80" w:before="80"/>
            </w:pPr>
            <w:r>
              <w:rPr>
                <w:b w:val="0"/>
                <w:sz w:val="18"/>
              </w:rPr>
              <w:t>2</w:t>
            </w:r>
          </w:p>
        </w:tc>
      </w:tr>
      <w:tr>
        <w:trPr>
          <w:cantSplit/>
        </w:trPr>
        <w:tc>
          <w:tcPr>
            <w:tcW w:type="dxa" w:w="1757"/>
          </w:tcPr>
          <w:p>
            <w:pPr>
              <w:keepNext w:val="0"/>
              <w:spacing w:after="80" w:before="80"/>
            </w:pPr>
            <w:r>
              <w:rPr>
                <w:b w:val="0"/>
                <w:sz w:val="18"/>
              </w:rPr>
              <w:t>6.1.2</w:t>
            </w:r>
          </w:p>
        </w:tc>
        <w:tc>
          <w:tcPr>
            <w:tcW w:type="dxa" w:w="5896"/>
          </w:tcPr>
          <w:p>
            <w:pPr>
              <w:keepNext w:val="0"/>
              <w:spacing w:after="80" w:before="80"/>
            </w:pPr>
            <w:r>
              <w:rPr>
                <w:b w:val="0"/>
                <w:sz w:val="18"/>
              </w:rPr>
              <w:t>Cases (a)–(d)</w:t>
            </w:r>
          </w:p>
        </w:tc>
        <w:tc>
          <w:tcPr>
            <w:tcW w:type="dxa" w:w="1984"/>
          </w:tcPr>
          <w:p>
            <w:pPr>
              <w:keepNext w:val="0"/>
              <w:spacing w:after="80" w:before="80"/>
            </w:pPr>
            <w:r>
              <w:rPr>
                <w:b w:val="0"/>
                <w:sz w:val="18"/>
              </w:rPr>
              <w:t>2</w:t>
            </w:r>
          </w:p>
        </w:tc>
      </w:tr>
      <w:tr>
        <w:trPr>
          <w:cantSplit/>
        </w:trPr>
        <w:tc>
          <w:tcPr>
            <w:tcW w:type="dxa" w:w="1757"/>
          </w:tcPr>
          <w:p>
            <w:pPr>
              <w:keepNext w:val="0"/>
              <w:spacing w:after="80" w:before="80"/>
            </w:pPr>
            <w:r>
              <w:rPr>
                <w:b w:val="0"/>
                <w:sz w:val="18"/>
              </w:rPr>
              <w:t>6.1.3</w:t>
            </w:r>
          </w:p>
        </w:tc>
        <w:tc>
          <w:tcPr>
            <w:tcW w:type="dxa" w:w="5896"/>
          </w:tcPr>
          <w:p>
            <w:pPr>
              <w:keepNext w:val="0"/>
              <w:spacing w:after="80" w:before="80"/>
            </w:pPr>
            <w:r>
              <w:rPr>
                <w:b w:val="0"/>
                <w:sz w:val="18"/>
              </w:rPr>
              <w:t>Voluntary monitoring</w:t>
            </w:r>
          </w:p>
        </w:tc>
        <w:tc>
          <w:tcPr>
            <w:tcW w:type="dxa" w:w="1984"/>
          </w:tcPr>
          <w:p>
            <w:pPr>
              <w:keepNext w:val="0"/>
              <w:spacing w:after="80" w:before="80"/>
            </w:pPr>
            <w:r>
              <w:rPr>
                <w:b w:val="0"/>
                <w:sz w:val="18"/>
              </w:rPr>
              <w:t>2</w:t>
            </w:r>
          </w:p>
        </w:tc>
      </w:tr>
      <w:tr>
        <w:trPr>
          <w:cantSplit/>
        </w:trPr>
        <w:tc>
          <w:tcPr>
            <w:tcW w:type="dxa" w:w="1757"/>
          </w:tcPr>
          <w:p>
            <w:pPr>
              <w:keepNext w:val="0"/>
              <w:spacing w:after="80" w:before="80"/>
            </w:pPr>
            <w:r>
              <w:rPr>
                <w:b w:val="0"/>
                <w:sz w:val="18"/>
              </w:rPr>
              <w:t>6.2</w:t>
            </w:r>
          </w:p>
        </w:tc>
        <w:tc>
          <w:tcPr>
            <w:tcW w:type="dxa" w:w="5896"/>
          </w:tcPr>
          <w:p>
            <w:pPr>
              <w:keepNext w:val="0"/>
              <w:spacing w:after="80" w:before="80"/>
            </w:pPr>
            <w:r>
              <w:rPr>
                <w:b w:val="0"/>
                <w:sz w:val="18"/>
              </w:rPr>
              <w:t>Small fleets</w:t>
            </w:r>
          </w:p>
        </w:tc>
        <w:tc>
          <w:tcPr>
            <w:tcW w:type="dxa" w:w="1984"/>
          </w:tcPr>
          <w:p>
            <w:pPr>
              <w:keepNext w:val="0"/>
              <w:spacing w:after="80" w:before="80"/>
            </w:pPr>
            <w:r>
              <w:rPr>
                <w:b w:val="0"/>
                <w:sz w:val="18"/>
              </w:rPr>
              <w:t>10.7</w:t>
            </w:r>
          </w:p>
        </w:tc>
      </w:tr>
      <w:tr>
        <w:trPr>
          <w:cantSplit/>
        </w:trPr>
        <w:tc>
          <w:tcPr>
            <w:tcW w:type="dxa" w:w="1757"/>
          </w:tcPr>
          <w:p>
            <w:pPr>
              <w:keepNext w:val="0"/>
              <w:spacing w:after="80" w:before="80"/>
            </w:pPr>
            <w:r>
              <w:rPr>
                <w:b w:val="0"/>
                <w:sz w:val="18"/>
              </w:rPr>
              <w:t>6.2.1</w:t>
            </w:r>
          </w:p>
        </w:tc>
        <w:tc>
          <w:tcPr>
            <w:tcW w:type="dxa" w:w="5896"/>
          </w:tcPr>
          <w:p>
            <w:pPr>
              <w:keepNext w:val="0"/>
              <w:spacing w:after="80" w:before="80"/>
            </w:pPr>
            <w:r>
              <w:rPr>
                <w:b w:val="0"/>
                <w:sz w:val="18"/>
              </w:rPr>
              <w:t>Fewer than six of one type</w:t>
            </w:r>
          </w:p>
        </w:tc>
        <w:tc>
          <w:tcPr>
            <w:tcW w:type="dxa" w:w="1984"/>
          </w:tcPr>
          <w:p>
            <w:pPr>
              <w:keepNext w:val="0"/>
              <w:spacing w:after="80" w:before="80"/>
            </w:pPr>
            <w:r>
              <w:rPr>
                <w:b w:val="0"/>
                <w:sz w:val="18"/>
              </w:rPr>
              <w:t>4; 10.7</w:t>
            </w:r>
          </w:p>
        </w:tc>
      </w:tr>
      <w:tr>
        <w:trPr>
          <w:cantSplit/>
        </w:trPr>
        <w:tc>
          <w:tcPr>
            <w:tcW w:type="dxa" w:w="1757"/>
          </w:tcPr>
          <w:p>
            <w:pPr>
              <w:keepNext w:val="0"/>
              <w:spacing w:after="80" w:before="80"/>
            </w:pPr>
            <w:r>
              <w:rPr>
                <w:b w:val="0"/>
                <w:sz w:val="18"/>
              </w:rPr>
              <w:t>6.2.2</w:t>
            </w:r>
          </w:p>
        </w:tc>
        <w:tc>
          <w:tcPr>
            <w:tcW w:type="dxa" w:w="5896"/>
          </w:tcPr>
          <w:p>
            <w:pPr>
              <w:keepNext w:val="0"/>
              <w:spacing w:after="80" w:before="80"/>
            </w:pPr>
            <w:r>
              <w:rPr>
                <w:b w:val="0"/>
                <w:sz w:val="18"/>
              </w:rPr>
              <w:t>Fleet size does not remove applicability</w:t>
            </w:r>
          </w:p>
        </w:tc>
        <w:tc>
          <w:tcPr>
            <w:tcW w:type="dxa" w:w="1984"/>
          </w:tcPr>
          <w:p>
            <w:pPr>
              <w:keepNext w:val="0"/>
              <w:spacing w:after="80" w:before="80"/>
            </w:pPr>
            <w:r>
              <w:rPr>
                <w:b w:val="0"/>
                <w:sz w:val="18"/>
              </w:rPr>
              <w:t>2; 10.7</w:t>
            </w:r>
          </w:p>
        </w:tc>
      </w:tr>
      <w:tr>
        <w:trPr>
          <w:cantSplit/>
        </w:trPr>
        <w:tc>
          <w:tcPr>
            <w:tcW w:type="dxa" w:w="1757"/>
          </w:tcPr>
          <w:p>
            <w:pPr>
              <w:keepNext w:val="0"/>
              <w:spacing w:after="80" w:before="80"/>
            </w:pPr>
            <w:r>
              <w:rPr>
                <w:b w:val="0"/>
                <w:sz w:val="18"/>
              </w:rPr>
              <w:t>6.2.3</w:t>
            </w:r>
          </w:p>
        </w:tc>
        <w:tc>
          <w:tcPr>
            <w:tcW w:type="dxa" w:w="5896"/>
          </w:tcPr>
          <w:p>
            <w:pPr>
              <w:keepNext w:val="0"/>
              <w:spacing w:after="80" w:before="80"/>
            </w:pPr>
            <w:r>
              <w:rPr>
                <w:b w:val="0"/>
                <w:sz w:val="18"/>
              </w:rPr>
              <w:t>Tailoring</w:t>
            </w:r>
          </w:p>
        </w:tc>
        <w:tc>
          <w:tcPr>
            <w:tcW w:type="dxa" w:w="1984"/>
          </w:tcPr>
          <w:p>
            <w:pPr>
              <w:keepNext w:val="0"/>
              <w:spacing w:after="80" w:before="80"/>
            </w:pPr>
            <w:r>
              <w:rPr>
                <w:b w:val="0"/>
                <w:sz w:val="18"/>
              </w:rPr>
              <w:t>10.7</w:t>
            </w:r>
          </w:p>
        </w:tc>
      </w:tr>
      <w:tr>
        <w:trPr>
          <w:cantSplit/>
        </w:trPr>
        <w:tc>
          <w:tcPr>
            <w:tcW w:type="dxa" w:w="1757"/>
          </w:tcPr>
          <w:p>
            <w:pPr>
              <w:keepNext w:val="0"/>
              <w:spacing w:after="80" w:before="80"/>
            </w:pPr>
            <w:r>
              <w:rPr>
                <w:b w:val="0"/>
                <w:sz w:val="18"/>
              </w:rPr>
              <w:t>6.2.4</w:t>
            </w:r>
          </w:p>
        </w:tc>
        <w:tc>
          <w:tcPr>
            <w:tcW w:type="dxa" w:w="5896"/>
          </w:tcPr>
          <w:p>
            <w:pPr>
              <w:keepNext w:val="0"/>
              <w:spacing w:after="80" w:before="80"/>
            </w:pPr>
            <w:r>
              <w:rPr>
                <w:b w:val="0"/>
                <w:sz w:val="18"/>
              </w:rPr>
              <w:t>Coarse alert levels</w:t>
            </w:r>
          </w:p>
        </w:tc>
        <w:tc>
          <w:tcPr>
            <w:tcW w:type="dxa" w:w="1984"/>
          </w:tcPr>
          <w:p>
            <w:pPr>
              <w:keepNext w:val="0"/>
              <w:spacing w:after="80" w:before="80"/>
            </w:pPr>
            <w:r>
              <w:rPr>
                <w:b w:val="0"/>
                <w:sz w:val="18"/>
              </w:rPr>
              <w:t>10.7; 11</w:t>
            </w:r>
          </w:p>
        </w:tc>
      </w:tr>
      <w:tr>
        <w:trPr>
          <w:cantSplit/>
        </w:trPr>
        <w:tc>
          <w:tcPr>
            <w:tcW w:type="dxa" w:w="1757"/>
          </w:tcPr>
          <w:p>
            <w:pPr>
              <w:keepNext w:val="0"/>
              <w:spacing w:after="80" w:before="80"/>
            </w:pPr>
            <w:r>
              <w:rPr>
                <w:b w:val="0"/>
                <w:sz w:val="18"/>
              </w:rPr>
              <w:t>6.2.5</w:t>
            </w:r>
          </w:p>
        </w:tc>
        <w:tc>
          <w:tcPr>
            <w:tcW w:type="dxa" w:w="5896"/>
          </w:tcPr>
          <w:p>
            <w:pPr>
              <w:keepNext w:val="0"/>
              <w:spacing w:after="80" w:before="80"/>
            </w:pPr>
            <w:r>
              <w:rPr>
                <w:b w:val="0"/>
                <w:sz w:val="18"/>
              </w:rPr>
              <w:t>Data and judgement (a)–(b)</w:t>
            </w:r>
          </w:p>
        </w:tc>
        <w:tc>
          <w:tcPr>
            <w:tcW w:type="dxa" w:w="1984"/>
          </w:tcPr>
          <w:p>
            <w:pPr>
              <w:keepNext w:val="0"/>
              <w:spacing w:after="80" w:before="80"/>
            </w:pPr>
            <w:r>
              <w:rPr>
                <w:b w:val="0"/>
                <w:sz w:val="18"/>
              </w:rPr>
              <w:t>9; 10.7</w:t>
            </w:r>
          </w:p>
        </w:tc>
      </w:tr>
      <w:tr>
        <w:trPr>
          <w:cantSplit/>
        </w:trPr>
        <w:tc>
          <w:tcPr>
            <w:tcW w:type="dxa" w:w="1757"/>
          </w:tcPr>
          <w:p>
            <w:pPr>
              <w:keepNext w:val="0"/>
              <w:spacing w:after="80" w:before="80"/>
            </w:pPr>
            <w:r>
              <w:rPr>
                <w:b w:val="0"/>
                <w:sz w:val="18"/>
              </w:rPr>
              <w:t>6.2.6</w:t>
            </w:r>
          </w:p>
        </w:tc>
        <w:tc>
          <w:tcPr>
            <w:tcW w:type="dxa" w:w="5896"/>
          </w:tcPr>
          <w:p>
            <w:pPr>
              <w:keepNext w:val="0"/>
              <w:spacing w:after="80" w:before="80"/>
            </w:pPr>
            <w:r>
              <w:rPr>
                <w:b w:val="0"/>
                <w:sz w:val="18"/>
              </w:rPr>
              <w:t>Pooling recommendation</w:t>
            </w:r>
          </w:p>
        </w:tc>
        <w:tc>
          <w:tcPr>
            <w:tcW w:type="dxa" w:w="1984"/>
          </w:tcPr>
          <w:p>
            <w:pPr>
              <w:keepNext w:val="0"/>
              <w:spacing w:after="80" w:before="80"/>
            </w:pPr>
            <w:r>
              <w:rPr>
                <w:b w:val="0"/>
                <w:sz w:val="18"/>
              </w:rPr>
              <w:t>10.7; 17</w:t>
            </w:r>
          </w:p>
        </w:tc>
      </w:tr>
      <w:tr>
        <w:trPr>
          <w:cantSplit/>
        </w:trPr>
        <w:tc>
          <w:tcPr>
            <w:tcW w:type="dxa" w:w="1757"/>
          </w:tcPr>
          <w:p>
            <w:pPr>
              <w:keepNext w:val="0"/>
              <w:spacing w:after="80" w:before="80"/>
            </w:pPr>
            <w:r>
              <w:rPr>
                <w:b w:val="0"/>
                <w:sz w:val="18"/>
              </w:rPr>
              <w:t>6.2.7</w:t>
            </w:r>
          </w:p>
        </w:tc>
        <w:tc>
          <w:tcPr>
            <w:tcW w:type="dxa" w:w="5896"/>
          </w:tcPr>
          <w:p>
            <w:pPr>
              <w:keepNext w:val="0"/>
              <w:spacing w:after="80" w:before="80"/>
            </w:pPr>
            <w:r>
              <w:rPr>
                <w:b w:val="0"/>
                <w:sz w:val="18"/>
              </w:rPr>
              <w:t>Restrictions when pooling is not possible</w:t>
            </w:r>
          </w:p>
        </w:tc>
        <w:tc>
          <w:tcPr>
            <w:tcW w:type="dxa" w:w="1984"/>
          </w:tcPr>
          <w:p>
            <w:pPr>
              <w:keepNext w:val="0"/>
              <w:spacing w:after="80" w:before="80"/>
            </w:pPr>
            <w:r>
              <w:rPr>
                <w:b w:val="0"/>
                <w:sz w:val="18"/>
              </w:rPr>
              <w:t>10.7</w:t>
            </w:r>
          </w:p>
        </w:tc>
      </w:tr>
      <w:tr>
        <w:trPr>
          <w:cantSplit/>
        </w:trPr>
        <w:tc>
          <w:tcPr>
            <w:tcW w:type="dxa" w:w="1757"/>
          </w:tcPr>
          <w:p>
            <w:pPr>
              <w:keepNext w:val="0"/>
              <w:spacing w:after="80" w:before="80"/>
            </w:pPr>
            <w:r>
              <w:rPr>
                <w:b w:val="0"/>
                <w:sz w:val="18"/>
              </w:rPr>
              <w:t>6.3</w:t>
            </w:r>
          </w:p>
        </w:tc>
        <w:tc>
          <w:tcPr>
            <w:tcW w:type="dxa" w:w="5896"/>
          </w:tcPr>
          <w:p>
            <w:pPr>
              <w:keepNext w:val="0"/>
              <w:spacing w:after="80" w:before="80"/>
            </w:pPr>
            <w:r>
              <w:rPr>
                <w:b w:val="0"/>
                <w:sz w:val="18"/>
              </w:rPr>
              <w:t>Engineering judgement</w:t>
            </w:r>
          </w:p>
        </w:tc>
        <w:tc>
          <w:tcPr>
            <w:tcW w:type="dxa" w:w="1984"/>
          </w:tcPr>
          <w:p>
            <w:pPr>
              <w:keepNext w:val="0"/>
              <w:spacing w:after="80" w:before="80"/>
            </w:pPr>
            <w:r>
              <w:rPr>
                <w:b w:val="0"/>
                <w:sz w:val="18"/>
              </w:rPr>
              <w:t>10; 13</w:t>
            </w:r>
          </w:p>
        </w:tc>
      </w:tr>
      <w:tr>
        <w:trPr>
          <w:cantSplit/>
        </w:trPr>
        <w:tc>
          <w:tcPr>
            <w:tcW w:type="dxa" w:w="1757"/>
          </w:tcPr>
          <w:p>
            <w:pPr>
              <w:keepNext w:val="0"/>
              <w:spacing w:after="80" w:before="80"/>
            </w:pPr>
            <w:r>
              <w:rPr>
                <w:b w:val="0"/>
                <w:sz w:val="18"/>
              </w:rPr>
              <w:t>6.3.1</w:t>
            </w:r>
          </w:p>
        </w:tc>
        <w:tc>
          <w:tcPr>
            <w:tcW w:type="dxa" w:w="5896"/>
          </w:tcPr>
          <w:p>
            <w:pPr>
              <w:keepNext w:val="0"/>
              <w:spacing w:after="80" w:before="80"/>
            </w:pPr>
            <w:r>
              <w:rPr>
                <w:b w:val="0"/>
                <w:sz w:val="18"/>
              </w:rPr>
              <w:t>Personnel capability</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6.3.2</w:t>
            </w:r>
          </w:p>
        </w:tc>
        <w:tc>
          <w:tcPr>
            <w:tcW w:type="dxa" w:w="5896"/>
          </w:tcPr>
          <w:p>
            <w:pPr>
              <w:keepNext w:val="0"/>
              <w:spacing w:after="80" w:before="80"/>
            </w:pPr>
            <w:r>
              <w:rPr>
                <w:b w:val="0"/>
                <w:sz w:val="18"/>
              </w:rPr>
              <w:t>Approval consequence</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6.4</w:t>
            </w:r>
          </w:p>
        </w:tc>
        <w:tc>
          <w:tcPr>
            <w:tcW w:type="dxa" w:w="5896"/>
          </w:tcPr>
          <w:p>
            <w:pPr>
              <w:keepNext w:val="0"/>
              <w:spacing w:after="80" w:before="80"/>
            </w:pPr>
            <w:r>
              <w:rPr>
                <w:b w:val="0"/>
                <w:sz w:val="18"/>
              </w:rPr>
              <w:t>Contracted maintenance</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6.4.1</w:t>
            </w:r>
          </w:p>
        </w:tc>
        <w:tc>
          <w:tcPr>
            <w:tcW w:type="dxa" w:w="5896"/>
          </w:tcPr>
          <w:p>
            <w:pPr>
              <w:keepNext w:val="0"/>
              <w:spacing w:after="80" w:before="80"/>
            </w:pPr>
            <w:r>
              <w:rPr>
                <w:b w:val="0"/>
                <w:sz w:val="18"/>
              </w:rPr>
              <w:t>CAMO management and specialist support</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6.4.2</w:t>
            </w:r>
          </w:p>
        </w:tc>
        <w:tc>
          <w:tcPr>
            <w:tcW w:type="dxa" w:w="5896"/>
          </w:tcPr>
          <w:p>
            <w:pPr>
              <w:keepNext w:val="0"/>
              <w:spacing w:after="80" w:before="80"/>
            </w:pPr>
            <w:r>
              <w:rPr>
                <w:b w:val="0"/>
                <w:sz w:val="18"/>
              </w:rPr>
              <w:t>Contracted functions (a)–(d)</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6.4.3</w:t>
            </w:r>
          </w:p>
        </w:tc>
        <w:tc>
          <w:tcPr>
            <w:tcW w:type="dxa" w:w="5896"/>
          </w:tcPr>
          <w:p>
            <w:pPr>
              <w:keepNext w:val="0"/>
              <w:spacing w:after="80" w:before="80"/>
            </w:pPr>
            <w:r>
              <w:rPr>
                <w:b w:val="0"/>
                <w:sz w:val="18"/>
              </w:rPr>
              <w:t>Decisions and justified no action</w:t>
            </w:r>
          </w:p>
        </w:tc>
        <w:tc>
          <w:tcPr>
            <w:tcW w:type="dxa" w:w="1984"/>
          </w:tcPr>
          <w:p>
            <w:pPr>
              <w:keepNext w:val="0"/>
              <w:spacing w:after="80" w:before="80"/>
            </w:pPr>
            <w:r>
              <w:rPr>
                <w:b w:val="0"/>
                <w:sz w:val="18"/>
              </w:rPr>
              <w:t>12; 13</w:t>
            </w:r>
          </w:p>
        </w:tc>
      </w:tr>
      <w:tr>
        <w:trPr>
          <w:cantSplit/>
        </w:trPr>
        <w:tc>
          <w:tcPr>
            <w:tcW w:type="dxa" w:w="1757"/>
          </w:tcPr>
          <w:p>
            <w:pPr>
              <w:keepNext w:val="0"/>
              <w:spacing w:after="80" w:before="80"/>
            </w:pPr>
            <w:r>
              <w:rPr>
                <w:b w:val="0"/>
                <w:sz w:val="18"/>
              </w:rPr>
              <w:t>6.4.4</w:t>
            </w:r>
          </w:p>
        </w:tc>
        <w:tc>
          <w:tcPr>
            <w:tcW w:type="dxa" w:w="5896"/>
          </w:tcPr>
          <w:p>
            <w:pPr>
              <w:keepNext w:val="0"/>
              <w:spacing w:after="80" w:before="80"/>
            </w:pPr>
            <w:r>
              <w:rPr>
                <w:b w:val="0"/>
                <w:sz w:val="18"/>
              </w:rPr>
              <w:t>Contract and exposition</w:t>
            </w:r>
          </w:p>
        </w:tc>
        <w:tc>
          <w:tcPr>
            <w:tcW w:type="dxa" w:w="1984"/>
          </w:tcPr>
          <w:p>
            <w:pPr>
              <w:keepNext w:val="0"/>
              <w:spacing w:after="80" w:before="80"/>
            </w:pPr>
            <w:r>
              <w:rPr>
                <w:b w:val="0"/>
                <w:sz w:val="18"/>
              </w:rPr>
              <w:t>7; 13</w:t>
            </w:r>
          </w:p>
        </w:tc>
      </w:tr>
      <w:tr>
        <w:trPr>
          <w:cantSplit/>
        </w:trPr>
        <w:tc>
          <w:tcPr>
            <w:tcW w:type="dxa" w:w="1757"/>
          </w:tcPr>
          <w:p>
            <w:pPr>
              <w:keepNext w:val="0"/>
              <w:spacing w:after="80" w:before="80"/>
            </w:pPr>
            <w:r>
              <w:rPr>
                <w:b w:val="0"/>
                <w:sz w:val="18"/>
              </w:rPr>
              <w:t>6.5</w:t>
            </w:r>
          </w:p>
        </w:tc>
        <w:tc>
          <w:tcPr>
            <w:tcW w:type="dxa" w:w="5896"/>
          </w:tcPr>
          <w:p>
            <w:pPr>
              <w:keepNext w:val="0"/>
              <w:spacing w:after="80" w:before="80"/>
            </w:pPr>
            <w:r>
              <w:rPr>
                <w:b w:val="0"/>
                <w:sz w:val="18"/>
              </w:rPr>
              <w:t>Defined procedures</w:t>
            </w:r>
          </w:p>
        </w:tc>
        <w:tc>
          <w:tcPr>
            <w:tcW w:type="dxa" w:w="1984"/>
          </w:tcPr>
          <w:p>
            <w:pPr>
              <w:keepNext w:val="0"/>
              <w:spacing w:after="80" w:before="80"/>
            </w:pPr>
            <w:r>
              <w:rPr>
                <w:b w:val="0"/>
                <w:sz w:val="18"/>
              </w:rPr>
              <w:t>1–17</w:t>
            </w:r>
          </w:p>
        </w:tc>
      </w:tr>
      <w:tr>
        <w:trPr>
          <w:cantSplit/>
        </w:trPr>
        <w:tc>
          <w:tcPr>
            <w:tcW w:type="dxa" w:w="1757"/>
          </w:tcPr>
          <w:p>
            <w:pPr>
              <w:keepNext w:val="0"/>
              <w:spacing w:after="80" w:before="80"/>
            </w:pPr>
            <w:r>
              <w:rPr>
                <w:b w:val="0"/>
                <w:sz w:val="18"/>
              </w:rPr>
              <w:t>6.5.1</w:t>
            </w:r>
          </w:p>
        </w:tc>
        <w:tc>
          <w:tcPr>
            <w:tcW w:type="dxa" w:w="5896"/>
          </w:tcPr>
          <w:p>
            <w:pPr>
              <w:keepNext w:val="0"/>
              <w:spacing w:after="80" w:before="80"/>
            </w:pPr>
            <w:r>
              <w:rPr>
                <w:b w:val="0"/>
                <w:sz w:val="18"/>
              </w:rPr>
              <w:t>Objectives</w:t>
            </w:r>
          </w:p>
        </w:tc>
        <w:tc>
          <w:tcPr>
            <w:tcW w:type="dxa" w:w="1984"/>
          </w:tcPr>
          <w:p>
            <w:pPr>
              <w:keepNext w:val="0"/>
              <w:spacing w:after="80" w:before="80"/>
            </w:pPr>
            <w:r>
              <w:rPr>
                <w:b w:val="0"/>
                <w:sz w:val="18"/>
              </w:rPr>
              <w:t>3</w:t>
            </w:r>
          </w:p>
        </w:tc>
      </w:tr>
      <w:tr>
        <w:trPr>
          <w:cantSplit/>
        </w:trPr>
        <w:tc>
          <w:tcPr>
            <w:tcW w:type="dxa" w:w="1757"/>
          </w:tcPr>
          <w:p>
            <w:pPr>
              <w:keepNext w:val="0"/>
              <w:spacing w:after="80" w:before="80"/>
            </w:pPr>
            <w:r>
              <w:rPr>
                <w:b w:val="0"/>
                <w:sz w:val="18"/>
              </w:rPr>
              <w:t>6.5.1.1</w:t>
            </w:r>
          </w:p>
        </w:tc>
        <w:tc>
          <w:tcPr>
            <w:tcW w:type="dxa" w:w="5896"/>
          </w:tcPr>
          <w:p>
            <w:pPr>
              <w:keepNext w:val="0"/>
              <w:spacing w:after="80" w:before="80"/>
            </w:pPr>
            <w:r>
              <w:rPr>
                <w:b w:val="0"/>
                <w:sz w:val="18"/>
              </w:rPr>
              <w:t>Corrective-action loop (a)–(c)</w:t>
            </w:r>
          </w:p>
        </w:tc>
        <w:tc>
          <w:tcPr>
            <w:tcW w:type="dxa" w:w="1984"/>
          </w:tcPr>
          <w:p>
            <w:pPr>
              <w:keepNext w:val="0"/>
              <w:spacing w:after="80" w:before="80"/>
            </w:pPr>
            <w:r>
              <w:rPr>
                <w:b w:val="0"/>
                <w:sz w:val="18"/>
              </w:rPr>
              <w:t>3; 12</w:t>
            </w:r>
          </w:p>
        </w:tc>
      </w:tr>
      <w:tr>
        <w:trPr>
          <w:cantSplit/>
        </w:trPr>
        <w:tc>
          <w:tcPr>
            <w:tcW w:type="dxa" w:w="1757"/>
          </w:tcPr>
          <w:p>
            <w:pPr>
              <w:keepNext w:val="0"/>
              <w:spacing w:after="80" w:before="80"/>
            </w:pPr>
            <w:r>
              <w:rPr>
                <w:b w:val="0"/>
                <w:sz w:val="18"/>
              </w:rPr>
              <w:t>6.5.1.2</w:t>
            </w:r>
          </w:p>
        </w:tc>
        <w:tc>
          <w:tcPr>
            <w:tcW w:type="dxa" w:w="5896"/>
          </w:tcPr>
          <w:p>
            <w:pPr>
              <w:keepNext w:val="0"/>
              <w:spacing w:after="80" w:before="80"/>
            </w:pPr>
            <w:r>
              <w:rPr>
                <w:b w:val="0"/>
                <w:sz w:val="18"/>
              </w:rPr>
              <w:t>Scope and manufacturer objectives</w:t>
            </w:r>
          </w:p>
        </w:tc>
        <w:tc>
          <w:tcPr>
            <w:tcW w:type="dxa" w:w="1984"/>
          </w:tcPr>
          <w:p>
            <w:pPr>
              <w:keepNext w:val="0"/>
              <w:spacing w:after="80" w:before="80"/>
            </w:pPr>
            <w:r>
              <w:rPr>
                <w:b w:val="0"/>
                <w:sz w:val="18"/>
              </w:rPr>
              <w:t>3; 5</w:t>
            </w:r>
          </w:p>
        </w:tc>
      </w:tr>
      <w:tr>
        <w:trPr>
          <w:cantSplit/>
        </w:trPr>
        <w:tc>
          <w:tcPr>
            <w:tcW w:type="dxa" w:w="1757"/>
          </w:tcPr>
          <w:p>
            <w:pPr>
              <w:keepNext w:val="0"/>
              <w:spacing w:after="80" w:before="80"/>
            </w:pPr>
            <w:r>
              <w:rPr>
                <w:b w:val="0"/>
                <w:sz w:val="18"/>
              </w:rPr>
              <w:t>6.5.1.3</w:t>
            </w:r>
          </w:p>
        </w:tc>
        <w:tc>
          <w:tcPr>
            <w:tcW w:type="dxa" w:w="5896"/>
          </w:tcPr>
          <w:p>
            <w:pPr>
              <w:keepNext w:val="0"/>
              <w:spacing w:after="80" w:before="80"/>
            </w:pPr>
            <w:r>
              <w:rPr>
                <w:b w:val="0"/>
                <w:sz w:val="18"/>
              </w:rPr>
              <w:t>All MSG-3 tasks</w:t>
            </w:r>
          </w:p>
        </w:tc>
        <w:tc>
          <w:tcPr>
            <w:tcW w:type="dxa" w:w="1984"/>
          </w:tcPr>
          <w:p>
            <w:pPr>
              <w:keepNext w:val="0"/>
              <w:spacing w:after="80" w:before="80"/>
            </w:pPr>
            <w:r>
              <w:rPr>
                <w:b w:val="0"/>
                <w:sz w:val="18"/>
              </w:rPr>
              <w:t>3; 10.6</w:t>
            </w:r>
          </w:p>
        </w:tc>
      </w:tr>
      <w:tr>
        <w:trPr>
          <w:cantSplit/>
        </w:trPr>
        <w:tc>
          <w:tcPr>
            <w:tcW w:type="dxa" w:w="1757"/>
          </w:tcPr>
          <w:p>
            <w:pPr>
              <w:keepNext w:val="0"/>
              <w:spacing w:after="80" w:before="80"/>
            </w:pPr>
            <w:r>
              <w:rPr>
                <w:b w:val="0"/>
                <w:sz w:val="18"/>
              </w:rPr>
              <w:t>6.5.2</w:t>
            </w:r>
          </w:p>
        </w:tc>
        <w:tc>
          <w:tcPr>
            <w:tcW w:type="dxa" w:w="5896"/>
          </w:tcPr>
          <w:p>
            <w:pPr>
              <w:keepNext w:val="0"/>
              <w:spacing w:after="80" w:before="80"/>
            </w:pPr>
            <w:r>
              <w:rPr>
                <w:b w:val="0"/>
                <w:sz w:val="18"/>
              </w:rPr>
              <w:t>Items and separate programmes</w:t>
            </w:r>
          </w:p>
        </w:tc>
        <w:tc>
          <w:tcPr>
            <w:tcW w:type="dxa" w:w="1984"/>
          </w:tcPr>
          <w:p>
            <w:pPr>
              <w:keepNext w:val="0"/>
              <w:spacing w:after="80" w:before="80"/>
            </w:pPr>
            <w:r>
              <w:rPr>
                <w:b w:val="0"/>
                <w:sz w:val="18"/>
              </w:rPr>
              <w:t>4; 5</w:t>
            </w:r>
          </w:p>
        </w:tc>
      </w:tr>
      <w:tr>
        <w:trPr>
          <w:cantSplit/>
        </w:trPr>
        <w:tc>
          <w:tcPr>
            <w:tcW w:type="dxa" w:w="1757"/>
          </w:tcPr>
          <w:p>
            <w:pPr>
              <w:keepNext w:val="0"/>
              <w:spacing w:after="80" w:before="80"/>
            </w:pPr>
            <w:r>
              <w:rPr>
                <w:b w:val="0"/>
                <w:sz w:val="18"/>
              </w:rPr>
              <w:t>6.5.3</w:t>
            </w:r>
          </w:p>
        </w:tc>
        <w:tc>
          <w:tcPr>
            <w:tcW w:type="dxa" w:w="5896"/>
          </w:tcPr>
          <w:p>
            <w:pPr>
              <w:keepNext w:val="0"/>
              <w:spacing w:after="80" w:before="80"/>
            </w:pPr>
            <w:r>
              <w:rPr>
                <w:b w:val="0"/>
                <w:sz w:val="18"/>
              </w:rPr>
              <w:t>Terms and definitions</w:t>
            </w:r>
          </w:p>
        </w:tc>
        <w:tc>
          <w:tcPr>
            <w:tcW w:type="dxa" w:w="1984"/>
          </w:tcPr>
          <w:p>
            <w:pPr>
              <w:keepNext w:val="0"/>
              <w:spacing w:after="80" w:before="80"/>
            </w:pPr>
            <w:r>
              <w:rPr>
                <w:b w:val="0"/>
                <w:sz w:val="18"/>
              </w:rPr>
              <w:t>6</w:t>
            </w:r>
          </w:p>
        </w:tc>
      </w:tr>
      <w:tr>
        <w:trPr>
          <w:cantSplit/>
        </w:trPr>
        <w:tc>
          <w:tcPr>
            <w:tcW w:type="dxa" w:w="1757"/>
          </w:tcPr>
          <w:p>
            <w:pPr>
              <w:keepNext w:val="0"/>
              <w:spacing w:after="80" w:before="80"/>
            </w:pPr>
            <w:r>
              <w:rPr>
                <w:b w:val="0"/>
                <w:sz w:val="18"/>
              </w:rPr>
              <w:t>6.5.4</w:t>
            </w:r>
          </w:p>
        </w:tc>
        <w:tc>
          <w:tcPr>
            <w:tcW w:type="dxa" w:w="5896"/>
          </w:tcPr>
          <w:p>
            <w:pPr>
              <w:keepNext w:val="0"/>
              <w:spacing w:after="80" w:before="80"/>
            </w:pPr>
            <w:r>
              <w:rPr>
                <w:b w:val="0"/>
                <w:sz w:val="18"/>
              </w:rPr>
              <w:t>Information sources</w:t>
            </w:r>
          </w:p>
        </w:tc>
        <w:tc>
          <w:tcPr>
            <w:tcW w:type="dxa" w:w="1984"/>
          </w:tcPr>
          <w:p>
            <w:pPr>
              <w:keepNext w:val="0"/>
              <w:spacing w:after="80" w:before="80"/>
            </w:pPr>
            <w:r>
              <w:rPr>
                <w:b w:val="0"/>
                <w:sz w:val="18"/>
              </w:rPr>
              <w:t>7; B</w:t>
            </w:r>
          </w:p>
        </w:tc>
      </w:tr>
      <w:tr>
        <w:trPr>
          <w:cantSplit/>
        </w:trPr>
        <w:tc>
          <w:tcPr>
            <w:tcW w:type="dxa" w:w="1757"/>
          </w:tcPr>
          <w:p>
            <w:pPr>
              <w:keepNext w:val="0"/>
              <w:spacing w:after="80" w:before="80"/>
            </w:pPr>
            <w:r>
              <w:rPr>
                <w:b w:val="0"/>
                <w:sz w:val="18"/>
              </w:rPr>
              <w:t>6.5.4.1</w:t>
            </w:r>
          </w:p>
        </w:tc>
        <w:tc>
          <w:tcPr>
            <w:tcW w:type="dxa" w:w="5896"/>
          </w:tcPr>
          <w:p>
            <w:pPr>
              <w:keepNext w:val="0"/>
              <w:spacing w:after="80" w:before="80"/>
            </w:pPr>
            <w:r>
              <w:rPr>
                <w:b w:val="0"/>
                <w:sz w:val="18"/>
              </w:rPr>
              <w:t>Transmission and receipt</w:t>
            </w:r>
          </w:p>
        </w:tc>
        <w:tc>
          <w:tcPr>
            <w:tcW w:type="dxa" w:w="1984"/>
          </w:tcPr>
          <w:p>
            <w:pPr>
              <w:keepNext w:val="0"/>
              <w:spacing w:after="80" w:before="80"/>
            </w:pPr>
            <w:r>
              <w:rPr>
                <w:b w:val="0"/>
                <w:sz w:val="18"/>
              </w:rPr>
              <w:t>7</w:t>
            </w:r>
          </w:p>
        </w:tc>
      </w:tr>
      <w:tr>
        <w:trPr>
          <w:cantSplit/>
        </w:trPr>
        <w:tc>
          <w:tcPr>
            <w:tcW w:type="dxa" w:w="1757"/>
          </w:tcPr>
          <w:p>
            <w:pPr>
              <w:keepNext w:val="0"/>
              <w:spacing w:after="80" w:before="80"/>
            </w:pPr>
            <w:r>
              <w:rPr>
                <w:b w:val="0"/>
                <w:sz w:val="18"/>
              </w:rPr>
              <w:t>6.5.4.2</w:t>
            </w:r>
          </w:p>
        </w:tc>
        <w:tc>
          <w:tcPr>
            <w:tcW w:type="dxa" w:w="5896"/>
          </w:tcPr>
          <w:p>
            <w:pPr>
              <w:keepNext w:val="0"/>
              <w:spacing w:after="80" w:before="80"/>
            </w:pPr>
            <w:r>
              <w:rPr>
                <w:b w:val="0"/>
                <w:sz w:val="18"/>
              </w:rPr>
              <w:t>Source coverage (a)–(k)</w:t>
            </w:r>
          </w:p>
        </w:tc>
        <w:tc>
          <w:tcPr>
            <w:tcW w:type="dxa" w:w="1984"/>
          </w:tcPr>
          <w:p>
            <w:pPr>
              <w:keepNext w:val="0"/>
              <w:spacing w:after="80" w:before="80"/>
            </w:pPr>
            <w:r>
              <w:rPr>
                <w:b w:val="0"/>
                <w:sz w:val="18"/>
              </w:rPr>
              <w:t>7</w:t>
            </w:r>
          </w:p>
        </w:tc>
      </w:tr>
      <w:tr>
        <w:trPr>
          <w:cantSplit/>
        </w:trPr>
        <w:tc>
          <w:tcPr>
            <w:tcW w:type="dxa" w:w="1757"/>
          </w:tcPr>
          <w:p>
            <w:pPr>
              <w:keepNext w:val="0"/>
              <w:spacing w:after="80" w:before="80"/>
            </w:pPr>
            <w:r>
              <w:rPr>
                <w:b w:val="0"/>
                <w:sz w:val="18"/>
              </w:rPr>
              <w:t>6.5.4.3</w:t>
            </w:r>
          </w:p>
        </w:tc>
        <w:tc>
          <w:tcPr>
            <w:tcW w:type="dxa" w:w="5896"/>
          </w:tcPr>
          <w:p>
            <w:pPr>
              <w:keepNext w:val="0"/>
              <w:spacing w:after="80" w:before="80"/>
            </w:pPr>
            <w:r>
              <w:rPr>
                <w:b w:val="0"/>
                <w:sz w:val="18"/>
              </w:rPr>
              <w:t>Part 21 / Part 21 Light information</w:t>
            </w:r>
          </w:p>
        </w:tc>
        <w:tc>
          <w:tcPr>
            <w:tcW w:type="dxa" w:w="1984"/>
          </w:tcPr>
          <w:p>
            <w:pPr>
              <w:keepNext w:val="0"/>
              <w:spacing w:after="80" w:before="80"/>
            </w:pPr>
            <w:r>
              <w:rPr>
                <w:b w:val="0"/>
                <w:sz w:val="18"/>
              </w:rPr>
              <w:t>7; 15</w:t>
            </w:r>
          </w:p>
        </w:tc>
      </w:tr>
      <w:tr>
        <w:trPr>
          <w:cantSplit/>
        </w:trPr>
        <w:tc>
          <w:tcPr>
            <w:tcW w:type="dxa" w:w="1757"/>
          </w:tcPr>
          <w:p>
            <w:pPr>
              <w:keepNext w:val="0"/>
              <w:spacing w:after="80" w:before="80"/>
            </w:pPr>
            <w:r>
              <w:rPr>
                <w:b w:val="0"/>
                <w:sz w:val="18"/>
              </w:rPr>
              <w:t>6.5.5</w:t>
            </w:r>
          </w:p>
        </w:tc>
        <w:tc>
          <w:tcPr>
            <w:tcW w:type="dxa" w:w="5896"/>
          </w:tcPr>
          <w:p>
            <w:pPr>
              <w:keepNext w:val="0"/>
              <w:spacing w:after="80" w:before="80"/>
            </w:pPr>
            <w:r>
              <w:rPr>
                <w:b w:val="0"/>
                <w:sz w:val="18"/>
              </w:rPr>
              <w:t>Display and exclusion rules</w:t>
            </w:r>
          </w:p>
        </w:tc>
        <w:tc>
          <w:tcPr>
            <w:tcW w:type="dxa" w:w="1984"/>
          </w:tcPr>
          <w:p>
            <w:pPr>
              <w:keepNext w:val="0"/>
              <w:spacing w:after="80" w:before="80"/>
            </w:pPr>
            <w:r>
              <w:rPr>
                <w:b w:val="0"/>
                <w:sz w:val="18"/>
              </w:rPr>
              <w:t>9</w:t>
            </w:r>
          </w:p>
        </w:tc>
      </w:tr>
      <w:tr>
        <w:trPr>
          <w:cantSplit/>
        </w:trPr>
        <w:tc>
          <w:tcPr>
            <w:tcW w:type="dxa" w:w="1757"/>
          </w:tcPr>
          <w:p>
            <w:pPr>
              <w:keepNext w:val="0"/>
              <w:spacing w:after="80" w:before="80"/>
            </w:pPr>
            <w:r>
              <w:rPr>
                <w:b w:val="0"/>
                <w:sz w:val="18"/>
              </w:rPr>
              <w:t>6.5.5.1</w:t>
            </w:r>
          </w:p>
        </w:tc>
        <w:tc>
          <w:tcPr>
            <w:tcW w:type="dxa" w:w="5896"/>
          </w:tcPr>
          <w:p>
            <w:pPr>
              <w:keepNext w:val="0"/>
              <w:spacing w:after="80" w:before="80"/>
            </w:pPr>
            <w:r>
              <w:rPr>
                <w:b w:val="0"/>
                <w:sz w:val="18"/>
              </w:rPr>
              <w:t>Nil returns</w:t>
            </w:r>
          </w:p>
        </w:tc>
        <w:tc>
          <w:tcPr>
            <w:tcW w:type="dxa" w:w="1984"/>
          </w:tcPr>
          <w:p>
            <w:pPr>
              <w:keepNext w:val="0"/>
              <w:spacing w:after="80" w:before="80"/>
            </w:pPr>
            <w:r>
              <w:rPr>
                <w:b w:val="0"/>
                <w:sz w:val="18"/>
              </w:rPr>
              <w:t>9</w:t>
            </w:r>
          </w:p>
        </w:tc>
      </w:tr>
      <w:tr>
        <w:trPr>
          <w:cantSplit/>
        </w:trPr>
        <w:tc>
          <w:tcPr>
            <w:tcW w:type="dxa" w:w="1757"/>
          </w:tcPr>
          <w:p>
            <w:pPr>
              <w:keepNext w:val="0"/>
              <w:spacing w:after="80" w:before="80"/>
            </w:pPr>
            <w:r>
              <w:rPr>
                <w:b w:val="0"/>
                <w:sz w:val="18"/>
              </w:rPr>
              <w:t>6.5.5.2</w:t>
            </w:r>
          </w:p>
        </w:tc>
        <w:tc>
          <w:tcPr>
            <w:tcW w:type="dxa" w:w="5896"/>
          </w:tcPr>
          <w:p>
            <w:pPr>
              <w:keepNext w:val="0"/>
              <w:spacing w:after="80" w:before="80"/>
            </w:pPr>
            <w:r>
              <w:rPr>
                <w:b w:val="0"/>
                <w:sz w:val="18"/>
              </w:rPr>
              <w:t>Display against levels</w:t>
            </w:r>
          </w:p>
        </w:tc>
        <w:tc>
          <w:tcPr>
            <w:tcW w:type="dxa" w:w="1984"/>
          </w:tcPr>
          <w:p>
            <w:pPr>
              <w:keepNext w:val="0"/>
              <w:spacing w:after="80" w:before="80"/>
            </w:pPr>
            <w:r>
              <w:rPr>
                <w:b w:val="0"/>
                <w:sz w:val="18"/>
              </w:rPr>
              <w:t>9; 11</w:t>
            </w:r>
          </w:p>
        </w:tc>
      </w:tr>
      <w:tr>
        <w:trPr>
          <w:cantSplit/>
        </w:trPr>
        <w:tc>
          <w:tcPr>
            <w:tcW w:type="dxa" w:w="1757"/>
          </w:tcPr>
          <w:p>
            <w:pPr>
              <w:keepNext w:val="0"/>
              <w:spacing w:after="80" w:before="80"/>
            </w:pPr>
            <w:r>
              <w:rPr>
                <w:b w:val="0"/>
                <w:sz w:val="18"/>
              </w:rPr>
              <w:t>6.5.6</w:t>
            </w:r>
          </w:p>
        </w:tc>
        <w:tc>
          <w:tcPr>
            <w:tcW w:type="dxa" w:w="5896"/>
          </w:tcPr>
          <w:p>
            <w:pPr>
              <w:keepNext w:val="0"/>
              <w:spacing w:after="80" w:before="80"/>
            </w:pPr>
            <w:r>
              <w:rPr>
                <w:b w:val="0"/>
                <w:sz w:val="18"/>
              </w:rPr>
              <w:t>Analysis methods</w:t>
            </w:r>
          </w:p>
        </w:tc>
        <w:tc>
          <w:tcPr>
            <w:tcW w:type="dxa" w:w="1984"/>
          </w:tcPr>
          <w:p>
            <w:pPr>
              <w:keepNext w:val="0"/>
              <w:spacing w:after="80" w:before="80"/>
            </w:pPr>
            <w:r>
              <w:rPr>
                <w:b w:val="0"/>
                <w:sz w:val="18"/>
              </w:rPr>
              <w:t>10</w:t>
            </w:r>
          </w:p>
        </w:tc>
      </w:tr>
      <w:tr>
        <w:trPr>
          <w:cantSplit/>
        </w:trPr>
        <w:tc>
          <w:tcPr>
            <w:tcW w:type="dxa" w:w="1757"/>
          </w:tcPr>
          <w:p>
            <w:pPr>
              <w:keepNext w:val="0"/>
              <w:spacing w:after="80" w:before="80"/>
            </w:pPr>
            <w:r>
              <w:rPr>
                <w:b w:val="0"/>
                <w:sz w:val="18"/>
              </w:rPr>
              <w:t>6.5.6.1</w:t>
            </w:r>
          </w:p>
        </w:tc>
        <w:tc>
          <w:tcPr>
            <w:tcW w:type="dxa" w:w="5896"/>
          </w:tcPr>
          <w:p>
            <w:pPr>
              <w:keepNext w:val="0"/>
              <w:spacing w:after="80" w:before="80"/>
            </w:pPr>
            <w:r>
              <w:rPr>
                <w:b w:val="0"/>
                <w:sz w:val="18"/>
              </w:rPr>
              <w:t>Examination</w:t>
            </w:r>
          </w:p>
        </w:tc>
        <w:tc>
          <w:tcPr>
            <w:tcW w:type="dxa" w:w="1984"/>
          </w:tcPr>
          <w:p>
            <w:pPr>
              <w:keepNext w:val="0"/>
              <w:spacing w:after="80" w:before="80"/>
            </w:pPr>
            <w:r>
              <w:rPr>
                <w:b w:val="0"/>
                <w:sz w:val="18"/>
              </w:rPr>
              <w:t>7; 10</w:t>
            </w:r>
          </w:p>
        </w:tc>
      </w:tr>
      <w:tr>
        <w:trPr>
          <w:cantSplit/>
        </w:trPr>
        <w:tc>
          <w:tcPr>
            <w:tcW w:type="dxa" w:w="1757"/>
          </w:tcPr>
          <w:p>
            <w:pPr>
              <w:keepNext w:val="0"/>
              <w:spacing w:after="80" w:before="80"/>
            </w:pPr>
            <w:r>
              <w:rPr>
                <w:b w:val="0"/>
                <w:sz w:val="18"/>
              </w:rPr>
              <w:t>6.5.6.2</w:t>
            </w:r>
          </w:p>
        </w:tc>
        <w:tc>
          <w:tcPr>
            <w:tcW w:type="dxa" w:w="5896"/>
          </w:tcPr>
          <w:p>
            <w:pPr>
              <w:keepNext w:val="0"/>
              <w:spacing w:after="80" w:before="80"/>
            </w:pPr>
            <w:r>
              <w:rPr>
                <w:b w:val="0"/>
                <w:sz w:val="18"/>
              </w:rPr>
              <w:t>Analysis methods (a)–(g)</w:t>
            </w:r>
          </w:p>
        </w:tc>
        <w:tc>
          <w:tcPr>
            <w:tcW w:type="dxa" w:w="1984"/>
          </w:tcPr>
          <w:p>
            <w:pPr>
              <w:keepNext w:val="0"/>
              <w:spacing w:after="80" w:before="80"/>
            </w:pPr>
            <w:r>
              <w:rPr>
                <w:b w:val="0"/>
                <w:sz w:val="18"/>
              </w:rPr>
              <w:t>10.1–10.7</w:t>
            </w:r>
          </w:p>
        </w:tc>
      </w:tr>
      <w:tr>
        <w:trPr>
          <w:cantSplit/>
        </w:trPr>
        <w:tc>
          <w:tcPr>
            <w:tcW w:type="dxa" w:w="1757"/>
          </w:tcPr>
          <w:p>
            <w:pPr>
              <w:keepNext w:val="0"/>
              <w:spacing w:after="80" w:before="80"/>
            </w:pPr>
            <w:r>
              <w:rPr>
                <w:b w:val="0"/>
                <w:sz w:val="18"/>
              </w:rPr>
              <w:t>6.5.6.3</w:t>
            </w:r>
          </w:p>
        </w:tc>
        <w:tc>
          <w:tcPr>
            <w:tcW w:type="dxa" w:w="5896"/>
          </w:tcPr>
          <w:p>
            <w:pPr>
              <w:keepNext w:val="0"/>
              <w:spacing w:after="80" w:before="80"/>
            </w:pPr>
            <w:r>
              <w:rPr>
                <w:b w:val="0"/>
                <w:sz w:val="18"/>
              </w:rPr>
              <w:t>Engineering considerations (a)–(j)</w:t>
            </w:r>
          </w:p>
        </w:tc>
        <w:tc>
          <w:tcPr>
            <w:tcW w:type="dxa" w:w="1984"/>
          </w:tcPr>
          <w:p>
            <w:pPr>
              <w:keepNext w:val="0"/>
              <w:spacing w:after="80" w:before="80"/>
            </w:pPr>
            <w:r>
              <w:rPr>
                <w:b w:val="0"/>
                <w:sz w:val="18"/>
              </w:rPr>
              <w:t>10; 12</w:t>
            </w:r>
          </w:p>
        </w:tc>
      </w:tr>
      <w:tr>
        <w:trPr>
          <w:cantSplit/>
        </w:trPr>
        <w:tc>
          <w:tcPr>
            <w:tcW w:type="dxa" w:w="1757"/>
          </w:tcPr>
          <w:p>
            <w:pPr>
              <w:keepNext w:val="0"/>
              <w:spacing w:after="80" w:before="80"/>
            </w:pPr>
            <w:r>
              <w:rPr>
                <w:b w:val="0"/>
                <w:sz w:val="18"/>
              </w:rPr>
              <w:t>6.5.6.4</w:t>
            </w:r>
          </w:p>
        </w:tc>
        <w:tc>
          <w:tcPr>
            <w:tcW w:type="dxa" w:w="5896"/>
          </w:tcPr>
          <w:p>
            <w:pPr>
              <w:keepNext w:val="0"/>
              <w:spacing w:after="80" w:before="80"/>
            </w:pPr>
            <w:r>
              <w:rPr>
                <w:b w:val="0"/>
                <w:sz w:val="18"/>
              </w:rPr>
              <w:t>Continuity of contractor data</w:t>
            </w:r>
          </w:p>
        </w:tc>
        <w:tc>
          <w:tcPr>
            <w:tcW w:type="dxa" w:w="1984"/>
          </w:tcPr>
          <w:p>
            <w:pPr>
              <w:keepNext w:val="0"/>
              <w:spacing w:after="80" w:before="80"/>
            </w:pPr>
            <w:r>
              <w:rPr>
                <w:b w:val="0"/>
                <w:sz w:val="18"/>
              </w:rPr>
              <w:t>7; 13</w:t>
            </w:r>
          </w:p>
        </w:tc>
      </w:tr>
      <w:tr>
        <w:trPr>
          <w:cantSplit/>
        </w:trPr>
        <w:tc>
          <w:tcPr>
            <w:tcW w:type="dxa" w:w="1757"/>
          </w:tcPr>
          <w:p>
            <w:pPr>
              <w:keepNext w:val="0"/>
              <w:spacing w:after="80" w:before="80"/>
            </w:pPr>
            <w:r>
              <w:rPr>
                <w:b w:val="0"/>
                <w:sz w:val="18"/>
              </w:rPr>
              <w:t>6.5.7</w:t>
            </w:r>
          </w:p>
        </w:tc>
        <w:tc>
          <w:tcPr>
            <w:tcW w:type="dxa" w:w="5896"/>
          </w:tcPr>
          <w:p>
            <w:pPr>
              <w:keepNext w:val="0"/>
              <w:spacing w:after="80" w:before="80"/>
            </w:pPr>
            <w:r>
              <w:rPr>
                <w:b w:val="0"/>
                <w:sz w:val="18"/>
              </w:rPr>
              <w:t>Corrective actions</w:t>
            </w:r>
          </w:p>
        </w:tc>
        <w:tc>
          <w:tcPr>
            <w:tcW w:type="dxa" w:w="1984"/>
          </w:tcPr>
          <w:p>
            <w:pPr>
              <w:keepNext w:val="0"/>
              <w:spacing w:after="80" w:before="80"/>
            </w:pPr>
            <w:r>
              <w:rPr>
                <w:b w:val="0"/>
                <w:sz w:val="18"/>
              </w:rPr>
              <w:t>12</w:t>
            </w:r>
          </w:p>
        </w:tc>
      </w:tr>
      <w:tr>
        <w:trPr>
          <w:cantSplit/>
        </w:trPr>
        <w:tc>
          <w:tcPr>
            <w:tcW w:type="dxa" w:w="1757"/>
          </w:tcPr>
          <w:p>
            <w:pPr>
              <w:keepNext w:val="0"/>
              <w:spacing w:after="80" w:before="80"/>
            </w:pPr>
            <w:r>
              <w:rPr>
                <w:b w:val="0"/>
                <w:sz w:val="18"/>
              </w:rPr>
              <w:t>6.5.7.1</w:t>
            </w:r>
          </w:p>
        </w:tc>
        <w:tc>
          <w:tcPr>
            <w:tcW w:type="dxa" w:w="5896"/>
          </w:tcPr>
          <w:p>
            <w:pPr>
              <w:keepNext w:val="0"/>
              <w:spacing w:after="80" w:before="80"/>
            </w:pPr>
            <w:r>
              <w:rPr>
                <w:b w:val="0"/>
                <w:sz w:val="18"/>
              </w:rPr>
              <w:t>Action types and time scales (a)–(h)</w:t>
            </w:r>
          </w:p>
        </w:tc>
        <w:tc>
          <w:tcPr>
            <w:tcW w:type="dxa" w:w="1984"/>
          </w:tcPr>
          <w:p>
            <w:pPr>
              <w:keepNext w:val="0"/>
              <w:spacing w:after="80" w:before="80"/>
            </w:pPr>
            <w:r>
              <w:rPr>
                <w:b w:val="0"/>
                <w:sz w:val="18"/>
              </w:rPr>
              <w:t>12; 16</w:t>
            </w:r>
          </w:p>
        </w:tc>
      </w:tr>
      <w:tr>
        <w:trPr>
          <w:cantSplit/>
        </w:trPr>
        <w:tc>
          <w:tcPr>
            <w:tcW w:type="dxa" w:w="1757"/>
          </w:tcPr>
          <w:p>
            <w:pPr>
              <w:keepNext w:val="0"/>
              <w:spacing w:after="80" w:before="80"/>
            </w:pPr>
            <w:r>
              <w:rPr>
                <w:b w:val="0"/>
                <w:sz w:val="18"/>
              </w:rPr>
              <w:t>6.5.7.2</w:t>
            </w:r>
          </w:p>
        </w:tc>
        <w:tc>
          <w:tcPr>
            <w:tcW w:type="dxa" w:w="5896"/>
          </w:tcPr>
          <w:p>
            <w:pPr>
              <w:keepNext w:val="0"/>
              <w:spacing w:after="80" w:before="80"/>
            </w:pPr>
            <w:r>
              <w:rPr>
                <w:b w:val="0"/>
                <w:sz w:val="18"/>
              </w:rPr>
              <w:t>Amendments and completion dates</w:t>
            </w:r>
          </w:p>
        </w:tc>
        <w:tc>
          <w:tcPr>
            <w:tcW w:type="dxa" w:w="1984"/>
          </w:tcPr>
          <w:p>
            <w:pPr>
              <w:keepNext w:val="0"/>
              <w:spacing w:after="80" w:before="80"/>
            </w:pPr>
            <w:r>
              <w:rPr>
                <w:b w:val="0"/>
                <w:sz w:val="18"/>
              </w:rPr>
              <w:t>12; 16; B.4</w:t>
            </w:r>
          </w:p>
        </w:tc>
      </w:tr>
      <w:tr>
        <w:trPr>
          <w:cantSplit/>
        </w:trPr>
        <w:tc>
          <w:tcPr>
            <w:tcW w:type="dxa" w:w="1757"/>
          </w:tcPr>
          <w:p>
            <w:pPr>
              <w:keepNext w:val="0"/>
              <w:spacing w:after="80" w:before="80"/>
            </w:pPr>
            <w:r>
              <w:rPr>
                <w:b w:val="0"/>
                <w:sz w:val="18"/>
              </w:rPr>
              <w:t>6.5.8</w:t>
            </w:r>
          </w:p>
        </w:tc>
        <w:tc>
          <w:tcPr>
            <w:tcW w:type="dxa" w:w="5896"/>
          </w:tcPr>
          <w:p>
            <w:pPr>
              <w:keepNext w:val="0"/>
              <w:spacing w:after="80" w:before="80"/>
            </w:pPr>
            <w:r>
              <w:rPr>
                <w:b w:val="0"/>
                <w:sz w:val="18"/>
              </w:rPr>
              <w:t>Organisation and authority participation</w:t>
            </w:r>
          </w:p>
        </w:tc>
        <w:tc>
          <w:tcPr>
            <w:tcW w:type="dxa" w:w="1984"/>
          </w:tcPr>
          <w:p>
            <w:pPr>
              <w:keepNext w:val="0"/>
              <w:spacing w:after="80" w:before="80"/>
            </w:pPr>
            <w:r>
              <w:rPr>
                <w:b w:val="0"/>
                <w:sz w:val="18"/>
              </w:rPr>
              <w:t>13</w:t>
            </w:r>
          </w:p>
        </w:tc>
      </w:tr>
      <w:tr>
        <w:trPr>
          <w:cantSplit/>
        </w:trPr>
        <w:tc>
          <w:tcPr>
            <w:tcW w:type="dxa" w:w="1757"/>
          </w:tcPr>
          <w:p>
            <w:pPr>
              <w:keepNext w:val="0"/>
              <w:spacing w:after="80" w:before="80"/>
            </w:pPr>
            <w:r>
              <w:rPr>
                <w:b w:val="0"/>
                <w:sz w:val="18"/>
              </w:rPr>
              <w:t>6.5.9</w:t>
            </w:r>
          </w:p>
        </w:tc>
        <w:tc>
          <w:tcPr>
            <w:tcW w:type="dxa" w:w="5896"/>
          </w:tcPr>
          <w:p>
            <w:pPr>
              <w:keepNext w:val="0"/>
              <w:spacing w:after="80" w:before="80"/>
            </w:pPr>
            <w:r>
              <w:rPr>
                <w:b w:val="0"/>
                <w:sz w:val="18"/>
              </w:rPr>
              <w:t>Authority reports (a)–(c)</w:t>
            </w:r>
          </w:p>
        </w:tc>
        <w:tc>
          <w:tcPr>
            <w:tcW w:type="dxa" w:w="1984"/>
          </w:tcPr>
          <w:p>
            <w:pPr>
              <w:keepNext w:val="0"/>
              <w:spacing w:after="80" w:before="80"/>
            </w:pPr>
            <w:r>
              <w:rPr>
                <w:b w:val="0"/>
                <w:sz w:val="18"/>
              </w:rPr>
              <w:t>14; 16</w:t>
            </w:r>
          </w:p>
        </w:tc>
      </w:tr>
      <w:tr>
        <w:trPr>
          <w:cantSplit/>
        </w:trPr>
        <w:tc>
          <w:tcPr>
            <w:tcW w:type="dxa" w:w="1757"/>
          </w:tcPr>
          <w:p>
            <w:pPr>
              <w:keepNext w:val="0"/>
              <w:spacing w:after="80" w:before="80"/>
            </w:pPr>
            <w:r>
              <w:rPr>
                <w:b w:val="0"/>
                <w:sz w:val="18"/>
              </w:rPr>
              <w:t>6.5.10</w:t>
            </w:r>
          </w:p>
        </w:tc>
        <w:tc>
          <w:tcPr>
            <w:tcW w:type="dxa" w:w="5896"/>
          </w:tcPr>
          <w:p>
            <w:pPr>
              <w:keepNext w:val="0"/>
              <w:spacing w:after="80" w:before="80"/>
            </w:pPr>
            <w:r>
              <w:rPr>
                <w:b w:val="0"/>
                <w:sz w:val="18"/>
              </w:rPr>
              <w:t>Continuous and scheduled review</w:t>
            </w:r>
          </w:p>
        </w:tc>
        <w:tc>
          <w:tcPr>
            <w:tcW w:type="dxa" w:w="1984"/>
          </w:tcPr>
          <w:p>
            <w:pPr>
              <w:keepNext w:val="0"/>
              <w:spacing w:after="80" w:before="80"/>
            </w:pPr>
            <w:r>
              <w:rPr>
                <w:b w:val="0"/>
                <w:sz w:val="18"/>
              </w:rPr>
              <w:t>15</w:t>
            </w:r>
          </w:p>
        </w:tc>
      </w:tr>
      <w:tr>
        <w:trPr>
          <w:cantSplit/>
        </w:trPr>
        <w:tc>
          <w:tcPr>
            <w:tcW w:type="dxa" w:w="1757"/>
          </w:tcPr>
          <w:p>
            <w:pPr>
              <w:keepNext w:val="0"/>
              <w:spacing w:after="80" w:before="80"/>
            </w:pPr>
            <w:r>
              <w:rPr>
                <w:b w:val="0"/>
                <w:sz w:val="18"/>
              </w:rPr>
              <w:t>6.5.10.1</w:t>
            </w:r>
          </w:p>
        </w:tc>
        <w:tc>
          <w:tcPr>
            <w:tcW w:type="dxa" w:w="5896"/>
          </w:tcPr>
          <w:p>
            <w:pPr>
              <w:keepNext w:val="0"/>
              <w:spacing w:after="80" w:before="80"/>
            </w:pPr>
            <w:r>
              <w:rPr>
                <w:b w:val="0"/>
                <w:sz w:val="18"/>
              </w:rPr>
              <w:t>Level review and responsibility</w:t>
            </w:r>
          </w:p>
        </w:tc>
        <w:tc>
          <w:tcPr>
            <w:tcW w:type="dxa" w:w="1984"/>
          </w:tcPr>
          <w:p>
            <w:pPr>
              <w:keepNext w:val="0"/>
              <w:spacing w:after="80" w:before="80"/>
            </w:pPr>
            <w:r>
              <w:rPr>
                <w:b w:val="0"/>
                <w:sz w:val="18"/>
              </w:rPr>
              <w:t>11; 13</w:t>
            </w:r>
          </w:p>
        </w:tc>
      </w:tr>
      <w:tr>
        <w:trPr>
          <w:cantSplit/>
        </w:trPr>
        <w:tc>
          <w:tcPr>
            <w:tcW w:type="dxa" w:w="1757"/>
          </w:tcPr>
          <w:p>
            <w:pPr>
              <w:keepNext w:val="0"/>
              <w:spacing w:after="80" w:before="80"/>
            </w:pPr>
            <w:r>
              <w:rPr>
                <w:b w:val="0"/>
                <w:sz w:val="18"/>
              </w:rPr>
              <w:t>6.5.10.2</w:t>
            </w:r>
          </w:p>
        </w:tc>
        <w:tc>
          <w:tcPr>
            <w:tcW w:type="dxa" w:w="5896"/>
          </w:tcPr>
          <w:p>
            <w:pPr>
              <w:keepNext w:val="0"/>
              <w:spacing w:after="80" w:before="80"/>
            </w:pPr>
            <w:r>
              <w:rPr>
                <w:b w:val="0"/>
                <w:sz w:val="18"/>
              </w:rPr>
              <w:t>Review criteria (a)–(g)</w:t>
            </w:r>
          </w:p>
        </w:tc>
        <w:tc>
          <w:tcPr>
            <w:tcW w:type="dxa" w:w="1984"/>
          </w:tcPr>
          <w:p>
            <w:pPr>
              <w:keepNext w:val="0"/>
              <w:spacing w:after="80" w:before="80"/>
            </w:pPr>
            <w:r>
              <w:rPr>
                <w:b w:val="0"/>
                <w:sz w:val="18"/>
              </w:rPr>
              <w:t>15</w:t>
            </w:r>
          </w:p>
        </w:tc>
      </w:tr>
      <w:tr>
        <w:trPr>
          <w:cantSplit/>
        </w:trPr>
        <w:tc>
          <w:tcPr>
            <w:tcW w:type="dxa" w:w="1757"/>
          </w:tcPr>
          <w:p>
            <w:pPr>
              <w:keepNext w:val="0"/>
              <w:spacing w:after="80" w:before="80"/>
            </w:pPr>
            <w:r>
              <w:rPr>
                <w:b w:val="0"/>
                <w:sz w:val="18"/>
              </w:rPr>
              <w:t>6.5.11</w:t>
            </w:r>
          </w:p>
        </w:tc>
        <w:tc>
          <w:tcPr>
            <w:tcW w:type="dxa" w:w="5896"/>
          </w:tcPr>
          <w:p>
            <w:pPr>
              <w:keepNext w:val="0"/>
              <w:spacing w:after="80" w:before="80"/>
            </w:pPr>
            <w:r>
              <w:rPr>
                <w:b w:val="0"/>
                <w:sz w:val="18"/>
              </w:rPr>
              <w:t>Amendment control (a)–(b)</w:t>
            </w:r>
          </w:p>
        </w:tc>
        <w:tc>
          <w:tcPr>
            <w:tcW w:type="dxa" w:w="1984"/>
          </w:tcPr>
          <w:p>
            <w:pPr>
              <w:keepNext w:val="0"/>
              <w:spacing w:after="80" w:before="80"/>
            </w:pPr>
            <w:r>
              <w:rPr>
                <w:b w:val="0"/>
                <w:sz w:val="18"/>
              </w:rPr>
              <w:t>16</w:t>
            </w:r>
          </w:p>
        </w:tc>
      </w:tr>
      <w:tr>
        <w:trPr>
          <w:cantSplit/>
        </w:trPr>
        <w:tc>
          <w:tcPr>
            <w:tcW w:type="dxa" w:w="1757"/>
          </w:tcPr>
          <w:p>
            <w:pPr>
              <w:keepNext w:val="0"/>
              <w:spacing w:after="80" w:before="80"/>
            </w:pPr>
            <w:r>
              <w:rPr>
                <w:b w:val="0"/>
                <w:sz w:val="18"/>
              </w:rPr>
              <w:t>6.6</w:t>
            </w:r>
          </w:p>
        </w:tc>
        <w:tc>
          <w:tcPr>
            <w:tcW w:type="dxa" w:w="5896"/>
          </w:tcPr>
          <w:p>
            <w:pPr>
              <w:keepNext w:val="0"/>
              <w:spacing w:after="80" w:before="80"/>
            </w:pPr>
            <w:r>
              <w:rPr>
                <w:b w:val="0"/>
                <w:sz w:val="18"/>
              </w:rPr>
              <w:t>Pooling</w:t>
            </w:r>
          </w:p>
        </w:tc>
        <w:tc>
          <w:tcPr>
            <w:tcW w:type="dxa" w:w="1984"/>
          </w:tcPr>
          <w:p>
            <w:pPr>
              <w:keepNext w:val="0"/>
              <w:spacing w:after="80" w:before="80"/>
            </w:pPr>
            <w:r>
              <w:rPr>
                <w:b w:val="0"/>
                <w:sz w:val="18"/>
              </w:rPr>
              <w:t>17</w:t>
            </w:r>
          </w:p>
        </w:tc>
      </w:tr>
      <w:tr>
        <w:trPr>
          <w:cantSplit/>
        </w:trPr>
        <w:tc>
          <w:tcPr>
            <w:tcW w:type="dxa" w:w="1757"/>
          </w:tcPr>
          <w:p>
            <w:pPr>
              <w:keepNext w:val="0"/>
              <w:spacing w:after="80" w:before="80"/>
            </w:pPr>
            <w:r>
              <w:rPr>
                <w:b w:val="0"/>
                <w:sz w:val="18"/>
              </w:rPr>
              <w:t>6.6.1</w:t>
            </w:r>
          </w:p>
        </w:tc>
        <w:tc>
          <w:tcPr>
            <w:tcW w:type="dxa" w:w="5896"/>
          </w:tcPr>
          <w:p>
            <w:pPr>
              <w:keepNext w:val="0"/>
              <w:spacing w:after="80" w:before="80"/>
            </w:pPr>
            <w:r>
              <w:rPr>
                <w:b w:val="0"/>
                <w:sz w:val="18"/>
              </w:rPr>
              <w:t>Commonality factors (a)–(c)</w:t>
            </w:r>
          </w:p>
        </w:tc>
        <w:tc>
          <w:tcPr>
            <w:tcW w:type="dxa" w:w="1984"/>
          </w:tcPr>
          <w:p>
            <w:pPr>
              <w:keepNext w:val="0"/>
              <w:spacing w:after="80" w:before="80"/>
            </w:pPr>
            <w:r>
              <w:rPr>
                <w:b w:val="0"/>
                <w:sz w:val="18"/>
              </w:rPr>
              <w:t>17</w:t>
            </w:r>
          </w:p>
        </w:tc>
      </w:tr>
      <w:tr>
        <w:trPr>
          <w:cantSplit/>
        </w:trPr>
        <w:tc>
          <w:tcPr>
            <w:tcW w:type="dxa" w:w="1757"/>
          </w:tcPr>
          <w:p>
            <w:pPr>
              <w:keepNext w:val="0"/>
              <w:spacing w:after="80" w:before="80"/>
            </w:pPr>
            <w:r>
              <w:rPr>
                <w:b w:val="0"/>
                <w:sz w:val="18"/>
              </w:rPr>
              <w:t>6.6.2</w:t>
            </w:r>
          </w:p>
        </w:tc>
        <w:tc>
          <w:tcPr>
            <w:tcW w:type="dxa" w:w="5896"/>
          </w:tcPr>
          <w:p>
            <w:pPr>
              <w:keepNext w:val="0"/>
              <w:spacing w:after="80" w:before="80"/>
            </w:pPr>
            <w:r>
              <w:rPr>
                <w:b w:val="0"/>
                <w:sz w:val="18"/>
              </w:rPr>
              <w:t>Authority case-by-case decision</w:t>
            </w:r>
          </w:p>
        </w:tc>
        <w:tc>
          <w:tcPr>
            <w:tcW w:type="dxa" w:w="1984"/>
          </w:tcPr>
          <w:p>
            <w:pPr>
              <w:keepNext w:val="0"/>
              <w:spacing w:after="80" w:before="80"/>
            </w:pPr>
            <w:r>
              <w:rPr>
                <w:b w:val="0"/>
                <w:sz w:val="18"/>
              </w:rPr>
              <w:t>17</w:t>
            </w:r>
          </w:p>
        </w:tc>
      </w:tr>
      <w:tr>
        <w:trPr>
          <w:cantSplit/>
        </w:trPr>
        <w:tc>
          <w:tcPr>
            <w:tcW w:type="dxa" w:w="1757"/>
          </w:tcPr>
          <w:p>
            <w:pPr>
              <w:keepNext w:val="0"/>
              <w:spacing w:after="80" w:before="80"/>
            </w:pPr>
            <w:r>
              <w:rPr>
                <w:b w:val="0"/>
                <w:sz w:val="18"/>
              </w:rPr>
              <w:t>6.6.3</w:t>
            </w:r>
          </w:p>
        </w:tc>
        <w:tc>
          <w:tcPr>
            <w:tcW w:type="dxa" w:w="5896"/>
          </w:tcPr>
          <w:p>
            <w:pPr>
              <w:keepNext w:val="0"/>
              <w:spacing w:after="80" w:before="80"/>
            </w:pPr>
            <w:r>
              <w:rPr>
                <w:b w:val="0"/>
                <w:sz w:val="18"/>
              </w:rPr>
              <w:t>Short leases</w:t>
            </w:r>
          </w:p>
        </w:tc>
        <w:tc>
          <w:tcPr>
            <w:tcW w:type="dxa" w:w="1984"/>
          </w:tcPr>
          <w:p>
            <w:pPr>
              <w:keepNext w:val="0"/>
              <w:spacing w:after="80" w:before="80"/>
            </w:pPr>
            <w:r>
              <w:rPr>
                <w:b w:val="0"/>
                <w:sz w:val="18"/>
              </w:rPr>
              <w:t>17</w:t>
            </w:r>
          </w:p>
        </w:tc>
      </w:tr>
      <w:tr>
        <w:trPr>
          <w:cantSplit/>
        </w:trPr>
        <w:tc>
          <w:tcPr>
            <w:tcW w:type="dxa" w:w="1757"/>
          </w:tcPr>
          <w:p>
            <w:pPr>
              <w:keepNext w:val="0"/>
              <w:spacing w:after="80" w:before="80"/>
            </w:pPr>
            <w:r>
              <w:rPr>
                <w:b w:val="0"/>
                <w:sz w:val="18"/>
              </w:rPr>
              <w:t>6.6.4</w:t>
            </w:r>
          </w:p>
        </w:tc>
        <w:tc>
          <w:tcPr>
            <w:tcW w:type="dxa" w:w="5896"/>
          </w:tcPr>
          <w:p>
            <w:pPr>
              <w:keepNext w:val="0"/>
              <w:spacing w:after="80" w:before="80"/>
            </w:pPr>
            <w:r>
              <w:rPr>
                <w:b w:val="0"/>
                <w:sz w:val="18"/>
              </w:rPr>
              <w:t>Changes and prior approval</w:t>
            </w:r>
          </w:p>
        </w:tc>
        <w:tc>
          <w:tcPr>
            <w:tcW w:type="dxa" w:w="1984"/>
          </w:tcPr>
          <w:p>
            <w:pPr>
              <w:keepNext w:val="0"/>
              <w:spacing w:after="80" w:before="80"/>
            </w:pPr>
            <w:r>
              <w:rPr>
                <w:b w:val="0"/>
                <w:sz w:val="18"/>
              </w:rPr>
              <w:t>17</w:t>
            </w:r>
          </w:p>
        </w:tc>
      </w:tr>
      <w:tr>
        <w:trPr>
          <w:cantSplit/>
        </w:trPr>
        <w:tc>
          <w:tcPr>
            <w:tcW w:type="dxa" w:w="1757"/>
          </w:tcPr>
          <w:p>
            <w:pPr>
              <w:keepNext w:val="0"/>
              <w:spacing w:after="80" w:before="80"/>
            </w:pPr>
            <w:r>
              <w:rPr>
                <w:b w:val="0"/>
                <w:sz w:val="18"/>
              </w:rPr>
              <w:t>6.6.5</w:t>
            </w:r>
          </w:p>
        </w:tc>
        <w:tc>
          <w:tcPr>
            <w:tcW w:type="dxa" w:w="5896"/>
          </w:tcPr>
          <w:p>
            <w:pPr>
              <w:keepNext w:val="0"/>
              <w:spacing w:after="80" w:before="80"/>
            </w:pPr>
            <w:r>
              <w:rPr>
                <w:b w:val="0"/>
                <w:sz w:val="18"/>
              </w:rPr>
              <w:t>Manufacturer programme</w:t>
            </w:r>
          </w:p>
        </w:tc>
        <w:tc>
          <w:tcPr>
            <w:tcW w:type="dxa" w:w="1984"/>
          </w:tcPr>
          <w:p>
            <w:pPr>
              <w:keepNext w:val="0"/>
              <w:spacing w:after="80" w:before="80"/>
            </w:pPr>
            <w:r>
              <w:rPr>
                <w:b w:val="0"/>
                <w:sz w:val="18"/>
              </w:rPr>
              <w:t>17</w:t>
            </w:r>
          </w:p>
        </w:tc>
      </w:tr>
    </w:tbl>
    <w:p>
      <w:r>
        <w:t xml:space="preserve">The independent reviewer named in section 13 checks the cross-references and selected procedures before issue and after revision. Review record: </w:t>
      </w:r>
      <w:sdt>
        <w:sdtPr>
          <w:id w:val="115"/>
          <w:tag w:val="combo:reference:115"/>
          <w:alias w:val="reference"/>
          <w:rPr>
            <w:highlight w:val="yellow"/>
          </w:rPr>
          <w:comboBox w:lastValue="Not reviewed yet">
            <w:listItem w:value="Not reviewed yet" w:displayText="Not reviewed yet"/>
          </w:comboBox>
        </w:sdtPr>
        <w:sdtContent>
          <w:r>
            <w:rPr>
              <w:highlight w:val="yellow"/>
            </w:rPr>
            <w:t xml:space="preserve">Not reviewed yet</w:t>
          </w:r>
        </w:sdtContent>
      </w:sdt>
      <w:r>
        <w:t xml:space="preserve">; reviewer: </w:t>
      </w:r>
      <w:sdt>
        <w:sdtPr>
          <w:id w:val="116"/>
          <w:tag w:val="combo:name:116"/>
          <w:alias w:val="name"/>
          <w:rPr>
            <w:highlight w:val="yellow"/>
          </w:rPr>
          <w:comboBox w:lastValue="Not reviewed yet">
            <w:listItem w:value="Not reviewed yet" w:displayText="Not reviewed yet"/>
          </w:comboBox>
        </w:sdtPr>
        <w:sdtContent>
          <w:r>
            <w:rPr>
              <w:highlight w:val="yellow"/>
            </w:rPr>
            <w:t xml:space="preserve">Not reviewed yet</w:t>
          </w:r>
        </w:sdtContent>
      </w:sdt>
      <w:r>
        <w:t xml:space="preserve">; date: </w:t>
      </w:r>
      <w:sdt>
        <w:sdtPr>
          <w:id w:val="117"/>
          <w:tag w:val="combo:date:117"/>
          <w:alias w:val="date"/>
          <w:rPr>
            <w:highlight w:val="yellow"/>
          </w:rPr>
          <w:comboBox w:lastValue="Not reviewed yet">
            <w:listItem w:value="Not reviewed yet" w:displayText="Not reviewed yet"/>
          </w:comboBox>
        </w:sdtPr>
        <w:sdtContent>
          <w:r>
            <w:rPr>
              <w:highlight w:val="yellow"/>
            </w:rPr>
            <w:t xml:space="preserve">Not reviewed yet</w:t>
          </w:r>
        </w:sdtContent>
      </w:sdt>
      <w:r>
        <w:t>.</w:t>
      </w:r>
    </w:p>
    <w:p>
      <w:pPr>
        <w:pStyle w:val="Heading1"/>
      </w:pPr>
      <w:r>
        <w:t>B. Register columns and export rules</w:t>
      </w:r>
      <w:r>
        <w:rPr>
          <w:color w:val="50636A"/>
          <w:sz w:val="18"/>
        </w:rPr>
        <w:br/>
        <w:t>Appendix I 6.5.3–6.5.6; 6.5.7.2; 6.5.10.1</w:t>
        <w:t xml:space="preserve"> | AC 120-17B 3.3; 5.2.9</w:t>
        <w:t xml:space="preserve"> | M.A.305(g); CAMO.A.220(d)–(f)</w:t>
      </w:r>
    </w:p>
    <w:p>
      <w:r>
        <w:t>These are our working register layouts; the regulations do not prescribe their column names. The technical-log and monthly-exposure registers form the minimum data set for this method. We include the other sources and analyses needed for our programme objectives.</w:t>
      </w:r>
    </w:p>
    <w:p>
      <w:r>
        <w:t>Each register has one record for each defined event, aircraft-month, level decision, action, removal or task accomplishment, with consistent units and the stated choices. A blank is not a checked zero.</w:t>
      </w:r>
    </w:p>
    <w:p>
      <w:r>
        <w:t xml:space="preserve">The </w:t>
      </w:r>
      <w:r>
        <w:t>reliability engineer</w:t>
      </w:r>
      <w:r>
        <w:t xml:space="preserve"> keeps these registers in the records system selected in section 7. We retain each source export and its column mapping, reconcile row counts and hours, and preserve the evidence for corrections checked under section 7. Mapping record reference: </w:t>
      </w:r>
      <w:sdt>
        <w:sdtPr>
          <w:id w:val="118"/>
          <w:tag w:val="combo:reference:118"/>
          <w:alias w:val="reference"/>
          <w:rPr>
            <w:highlight w:val="yellow"/>
          </w:rPr>
          <w:comboBox w:lastValue="Not recorded yet">
            <w:listItem w:value="Not recorded yet" w:displayText="Not recorded yet"/>
          </w:comboBox>
        </w:sdtPr>
        <w:sdtContent>
          <w:r>
            <w:rPr>
              <w:highlight w:val="yellow"/>
            </w:rPr>
            <w:t xml:space="preserve">Not recorded yet</w:t>
          </w:r>
        </w:sdtContent>
      </w:sdt>
      <w:r>
        <w:t>. A changed source layout is checked before the mapping is reused.</w:t>
      </w:r>
    </w:p>
    <w:p>
      <w:pPr>
        <w:pStyle w:val="Heading2"/>
      </w:pPr>
      <w:r>
        <w:t>B.1. Technical log entries</w:t>
      </w:r>
      <w:r>
        <w:rPr>
          <w:color w:val="50636A"/>
          <w:sz w:val="18"/>
        </w:rPr>
        <w:br/>
        <w:t>Appendix I 6.5.4; 6.5.6</w:t>
        <w:t xml:space="preserve"> | AC 120-17B 3.2–3.3; 4.2.3; 5.1.1</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Date</w:t>
            </w:r>
          </w:p>
        </w:tc>
        <w:tc>
          <w:tcPr>
            <w:tcW w:type="dxa" w:w="7200"/>
          </w:tcPr>
          <w:p>
            <w:pPr>
              <w:keepNext w:val="0"/>
              <w:spacing w:after="80" w:before="80"/>
            </w:pPr>
            <w:r>
              <w:rPr>
                <w:b w:val="0"/>
                <w:sz w:val="18"/>
              </w:rPr>
              <w:t>Event date: YYYY-MM-DD.</w:t>
            </w:r>
          </w:p>
        </w:tc>
      </w:tr>
      <w:tr>
        <w:trPr>
          <w:cantSplit/>
        </w:trPr>
        <w:tc>
          <w:tcPr>
            <w:tcW w:type="dxa" w:w="2438"/>
          </w:tcPr>
          <w:p>
            <w:pPr>
              <w:keepNext w:val="0"/>
              <w:spacing w:after="80" w:before="80"/>
            </w:pPr>
            <w:r>
              <w:rPr>
                <w:b w:val="0"/>
                <w:sz w:val="18"/>
              </w:rPr>
              <w:t>Aircraft</w:t>
            </w:r>
          </w:p>
        </w:tc>
        <w:tc>
          <w:tcPr>
            <w:tcW w:type="dxa" w:w="7200"/>
          </w:tcPr>
          <w:p>
            <w:pPr>
              <w:keepNext w:val="0"/>
              <w:spacing w:after="80" w:before="80"/>
            </w:pPr>
            <w:r>
              <w:rPr>
                <w:b w:val="0"/>
                <w:sz w:val="18"/>
              </w:rPr>
              <w:t>Registration that matches the Fleet table.</w:t>
            </w:r>
          </w:p>
        </w:tc>
      </w:tr>
      <w:tr>
        <w:trPr>
          <w:cantSplit/>
        </w:trPr>
        <w:tc>
          <w:tcPr>
            <w:tcW w:type="dxa" w:w="2438"/>
          </w:tcPr>
          <w:p>
            <w:pPr>
              <w:keepNext w:val="0"/>
              <w:spacing w:after="80" w:before="80"/>
            </w:pPr>
            <w:r>
              <w:rPr>
                <w:b w:val="0"/>
                <w:sz w:val="18"/>
              </w:rPr>
              <w:t>ATA chapter</w:t>
            </w:r>
          </w:p>
        </w:tc>
        <w:tc>
          <w:tcPr>
            <w:tcW w:type="dxa" w:w="7200"/>
          </w:tcPr>
          <w:p>
            <w:pPr>
              <w:keepNext w:val="0"/>
              <w:spacing w:after="80" w:before="80"/>
            </w:pPr>
            <w:r>
              <w:rPr>
                <w:b w:val="0"/>
                <w:sz w:val="18"/>
              </w:rPr>
              <w:t>Chapter, or four-digit sub-chapter when available.</w:t>
            </w:r>
          </w:p>
        </w:tc>
      </w:tr>
      <w:tr>
        <w:trPr>
          <w:cantSplit/>
        </w:trPr>
        <w:tc>
          <w:tcPr>
            <w:tcW w:type="dxa" w:w="2438"/>
          </w:tcPr>
          <w:p>
            <w:pPr>
              <w:keepNext w:val="0"/>
              <w:spacing w:after="80" w:before="80"/>
            </w:pPr>
            <w:r>
              <w:rPr>
                <w:b w:val="0"/>
                <w:sz w:val="18"/>
              </w:rPr>
              <w:t>Reported by</w:t>
            </w:r>
          </w:p>
        </w:tc>
        <w:tc>
          <w:tcPr>
            <w:tcW w:type="dxa" w:w="7200"/>
          </w:tcPr>
          <w:p>
            <w:pPr>
              <w:keepNext w:val="0"/>
              <w:spacing w:after="80" w:before="80"/>
            </w:pPr>
            <w:r>
              <w:rPr>
                <w:b w:val="0"/>
                <w:sz w:val="18"/>
              </w:rPr>
              <w:t>PIREP or MAREP.</w:t>
            </w:r>
          </w:p>
        </w:tc>
      </w:tr>
      <w:tr>
        <w:trPr>
          <w:cantSplit/>
        </w:trPr>
        <w:tc>
          <w:tcPr>
            <w:tcW w:type="dxa" w:w="2438"/>
          </w:tcPr>
          <w:p>
            <w:pPr>
              <w:keepNext w:val="0"/>
              <w:spacing w:after="80" w:before="80"/>
            </w:pPr>
            <w:r>
              <w:rPr>
                <w:b w:val="0"/>
                <w:sz w:val="18"/>
              </w:rPr>
              <w:t>Component removed</w:t>
            </w:r>
          </w:p>
        </w:tc>
        <w:tc>
          <w:tcPr>
            <w:tcW w:type="dxa" w:w="7200"/>
          </w:tcPr>
          <w:p>
            <w:pPr>
              <w:keepNext w:val="0"/>
              <w:spacing w:after="80" w:before="80"/>
            </w:pPr>
            <w:r>
              <w:rPr>
                <w:b w:val="0"/>
                <w:sz w:val="18"/>
              </w:rPr>
              <w:t>Yes or No.</w:t>
            </w:r>
          </w:p>
        </w:tc>
      </w:tr>
      <w:tr>
        <w:trPr>
          <w:cantSplit/>
        </w:trPr>
        <w:tc>
          <w:tcPr>
            <w:tcW w:type="dxa" w:w="2438"/>
          </w:tcPr>
          <w:p>
            <w:pPr>
              <w:keepNext w:val="0"/>
              <w:spacing w:after="80" w:before="80"/>
            </w:pPr>
            <w:r>
              <w:rPr>
                <w:b w:val="0"/>
                <w:sz w:val="18"/>
              </w:rPr>
              <w:t>Delay minutes</w:t>
            </w:r>
          </w:p>
        </w:tc>
        <w:tc>
          <w:tcPr>
            <w:tcW w:type="dxa" w:w="7200"/>
          </w:tcPr>
          <w:p>
            <w:pPr>
              <w:keepNext w:val="0"/>
              <w:spacing w:after="80" w:before="80"/>
            </w:pPr>
            <w:r>
              <w:rPr>
                <w:b w:val="0"/>
                <w:sz w:val="18"/>
              </w:rPr>
              <w:t>Technical delay duration in whole minutes; zero when there was no delay.</w:t>
            </w:r>
          </w:p>
        </w:tc>
      </w:tr>
      <w:tr>
        <w:trPr>
          <w:cantSplit/>
        </w:trPr>
        <w:tc>
          <w:tcPr>
            <w:tcW w:type="dxa" w:w="2438"/>
          </w:tcPr>
          <w:p>
            <w:pPr>
              <w:keepNext w:val="0"/>
              <w:spacing w:after="80" w:before="80"/>
            </w:pPr>
            <w:r>
              <w:rPr>
                <w:b w:val="0"/>
                <w:sz w:val="18"/>
              </w:rPr>
              <w:t>Operational event</w:t>
            </w:r>
          </w:p>
        </w:tc>
        <w:tc>
          <w:tcPr>
            <w:tcW w:type="dxa" w:w="7200"/>
          </w:tcPr>
          <w:p>
            <w:pPr>
              <w:keepNext w:val="0"/>
              <w:spacing w:after="80" w:before="80"/>
            </w:pPr>
            <w:r>
              <w:rPr>
                <w:b w:val="0"/>
                <w:sz w:val="18"/>
              </w:rPr>
              <w:t>Cancellation, Diversion, Turn-back, In-flight shutdown or Rejected take-off; blank when none.</w:t>
            </w:r>
          </w:p>
        </w:tc>
      </w:tr>
      <w:tr>
        <w:trPr>
          <w:cantSplit/>
        </w:trPr>
        <w:tc>
          <w:tcPr>
            <w:tcW w:type="dxa" w:w="2438"/>
          </w:tcPr>
          <w:p>
            <w:pPr>
              <w:keepNext w:val="0"/>
              <w:spacing w:after="80" w:before="80"/>
            </w:pPr>
            <w:r>
              <w:rPr>
                <w:b w:val="0"/>
                <w:sz w:val="18"/>
              </w:rPr>
              <w:t>Log page</w:t>
            </w:r>
          </w:p>
        </w:tc>
        <w:tc>
          <w:tcPr>
            <w:tcW w:type="dxa" w:w="7200"/>
          </w:tcPr>
          <w:p>
            <w:pPr>
              <w:keepNext w:val="0"/>
              <w:spacing w:after="80" w:before="80"/>
            </w:pPr>
            <w:r>
              <w:rPr>
                <w:b w:val="0"/>
                <w:sz w:val="18"/>
              </w:rPr>
              <w:t>Source page or record reference.</w:t>
            </w:r>
          </w:p>
        </w:tc>
      </w:tr>
      <w:tr>
        <w:trPr>
          <w:cantSplit/>
        </w:trPr>
        <w:tc>
          <w:tcPr>
            <w:tcW w:type="dxa" w:w="2438"/>
          </w:tcPr>
          <w:p>
            <w:pPr>
              <w:keepNext w:val="0"/>
              <w:spacing w:after="80" w:before="80"/>
            </w:pPr>
            <w:r>
              <w:rPr>
                <w:b w:val="0"/>
                <w:sz w:val="18"/>
              </w:rPr>
              <w:t>Description</w:t>
            </w:r>
          </w:p>
        </w:tc>
        <w:tc>
          <w:tcPr>
            <w:tcW w:type="dxa" w:w="7200"/>
          </w:tcPr>
          <w:p>
            <w:pPr>
              <w:keepNext w:val="0"/>
              <w:spacing w:after="80" w:before="80"/>
            </w:pPr>
            <w:r>
              <w:rPr>
                <w:b w:val="0"/>
                <w:sz w:val="18"/>
              </w:rPr>
              <w:t>The reported defect and relevant circumstances.</w:t>
            </w:r>
          </w:p>
        </w:tc>
      </w:tr>
      <w:tr>
        <w:trPr>
          <w:cantSplit/>
        </w:trPr>
        <w:tc>
          <w:tcPr>
            <w:tcW w:type="dxa" w:w="2438"/>
          </w:tcPr>
          <w:p>
            <w:pPr>
              <w:keepNext w:val="0"/>
              <w:spacing w:after="80" w:before="80"/>
            </w:pPr>
            <w:r>
              <w:rPr>
                <w:b w:val="0"/>
                <w:sz w:val="18"/>
              </w:rPr>
              <w:t>Action taken</w:t>
            </w:r>
          </w:p>
        </w:tc>
        <w:tc>
          <w:tcPr>
            <w:tcW w:type="dxa" w:w="7200"/>
          </w:tcPr>
          <w:p>
            <w:pPr>
              <w:keepNext w:val="0"/>
              <w:spacing w:after="80" w:before="80"/>
            </w:pPr>
            <w:r>
              <w:rPr>
                <w:b w:val="0"/>
                <w:sz w:val="18"/>
              </w:rPr>
              <w:t>The recorded maintenance action and source reference.</w:t>
            </w:r>
          </w:p>
        </w:tc>
      </w:tr>
      <w:tr>
        <w:trPr>
          <w:cantSplit/>
        </w:trPr>
        <w:tc>
          <w:tcPr>
            <w:tcW w:type="dxa" w:w="2438"/>
          </w:tcPr>
          <w:p>
            <w:pPr>
              <w:keepNext w:val="0"/>
              <w:spacing w:after="80" w:before="80"/>
            </w:pPr>
            <w:r>
              <w:rPr>
                <w:b w:val="0"/>
                <w:sz w:val="18"/>
              </w:rPr>
              <w:t>Aircraft hours</w:t>
            </w:r>
          </w:p>
        </w:tc>
        <w:tc>
          <w:tcPr>
            <w:tcW w:type="dxa" w:w="7200"/>
          </w:tcPr>
          <w:p>
            <w:pPr>
              <w:keepNext w:val="0"/>
              <w:spacing w:after="80" w:before="80"/>
            </w:pPr>
            <w:r>
              <w:rPr>
                <w:b w:val="0"/>
                <w:sz w:val="18"/>
              </w:rPr>
              <w:t>Optional: total aircraft hours at the event, not hours flown that month.</w:t>
            </w:r>
          </w:p>
        </w:tc>
      </w:tr>
      <w:tr>
        <w:trPr>
          <w:cantSplit/>
        </w:trPr>
        <w:tc>
          <w:tcPr>
            <w:tcW w:type="dxa" w:w="2438"/>
          </w:tcPr>
          <w:p>
            <w:pPr>
              <w:keepNext w:val="0"/>
              <w:spacing w:after="80" w:before="80"/>
            </w:pPr>
            <w:r>
              <w:rPr>
                <w:b w:val="0"/>
                <w:sz w:val="18"/>
              </w:rPr>
              <w:t>Aircraft cycles</w:t>
            </w:r>
          </w:p>
        </w:tc>
        <w:tc>
          <w:tcPr>
            <w:tcW w:type="dxa" w:w="7200"/>
          </w:tcPr>
          <w:p>
            <w:pPr>
              <w:keepNext w:val="0"/>
              <w:spacing w:after="80" w:before="80"/>
            </w:pPr>
            <w:r>
              <w:rPr>
                <w:b w:val="0"/>
                <w:sz w:val="18"/>
              </w:rPr>
              <w:t>Optional: total aircraft cycles at the event.</w:t>
            </w:r>
          </w:p>
        </w:tc>
      </w:tr>
      <w:tr>
        <w:trPr>
          <w:cantSplit/>
        </w:trPr>
        <w:tc>
          <w:tcPr>
            <w:tcW w:type="dxa" w:w="2438"/>
          </w:tcPr>
          <w:p>
            <w:pPr>
              <w:keepNext w:val="0"/>
              <w:spacing w:after="80" w:before="80"/>
            </w:pPr>
            <w:r>
              <w:rPr>
                <w:b w:val="0"/>
                <w:sz w:val="18"/>
              </w:rPr>
              <w:t>Engineer check</w:t>
            </w:r>
          </w:p>
        </w:tc>
        <w:tc>
          <w:tcPr>
            <w:tcW w:type="dxa" w:w="7200"/>
          </w:tcPr>
          <w:p>
            <w:pPr>
              <w:keepNext w:val="0"/>
              <w:spacing w:after="80" w:before="80"/>
            </w:pPr>
            <w:r>
              <w:rPr>
                <w:b w:val="0"/>
                <w:sz w:val="18"/>
              </w:rPr>
              <w:t>To check or Checked.</w:t>
            </w:r>
          </w:p>
        </w:tc>
      </w:tr>
      <w:tr>
        <w:trPr>
          <w:cantSplit/>
        </w:trPr>
        <w:tc>
          <w:tcPr>
            <w:tcW w:type="dxa" w:w="2438"/>
          </w:tcPr>
          <w:p>
            <w:pPr>
              <w:keepNext w:val="0"/>
              <w:spacing w:after="80" w:before="80"/>
            </w:pPr>
            <w:r>
              <w:rPr>
                <w:b w:val="0"/>
                <w:sz w:val="18"/>
              </w:rPr>
              <w:t>Check reason</w:t>
            </w:r>
          </w:p>
        </w:tc>
        <w:tc>
          <w:tcPr>
            <w:tcW w:type="dxa" w:w="7200"/>
          </w:tcPr>
          <w:p>
            <w:pPr>
              <w:keepNext w:val="0"/>
              <w:spacing w:after="80" w:before="80"/>
            </w:pPr>
            <w:r>
              <w:rPr>
                <w:b w:val="0"/>
                <w:sz w:val="18"/>
              </w:rPr>
              <w:t>The named problem requiring review, or the correction reference.</w:t>
            </w:r>
          </w:p>
        </w:tc>
      </w:tr>
    </w:tbl>
    <w:p>
      <w:pPr>
        <w:pStyle w:val="Heading2"/>
      </w:pPr>
      <w:r>
        <w:t>B.2. Monthly flight hours</w:t>
      </w:r>
      <w:r>
        <w:rPr>
          <w:color w:val="50636A"/>
          <w:sz w:val="18"/>
        </w:rPr>
        <w:br/>
        <w:t>Appendix I 6.5.4; 6.5.6</w:t>
        <w:t xml:space="preserve"> | AC 120-17B 3.3; 4.1</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Month</w:t>
            </w:r>
          </w:p>
        </w:tc>
        <w:tc>
          <w:tcPr>
            <w:tcW w:type="dxa" w:w="7200"/>
          </w:tcPr>
          <w:p>
            <w:pPr>
              <w:keepNext w:val="0"/>
              <w:spacing w:after="80" w:before="80"/>
            </w:pPr>
            <w:r>
              <w:rPr>
                <w:b w:val="0"/>
                <w:sz w:val="18"/>
              </w:rPr>
              <w:t>YYYY-MM.</w:t>
            </w:r>
          </w:p>
        </w:tc>
      </w:tr>
      <w:tr>
        <w:trPr>
          <w:cantSplit/>
        </w:trPr>
        <w:tc>
          <w:tcPr>
            <w:tcW w:type="dxa" w:w="2438"/>
          </w:tcPr>
          <w:p>
            <w:pPr>
              <w:keepNext w:val="0"/>
              <w:spacing w:after="80" w:before="80"/>
            </w:pPr>
            <w:r>
              <w:rPr>
                <w:b w:val="0"/>
                <w:sz w:val="18"/>
              </w:rPr>
              <w:t>Aircraft</w:t>
            </w:r>
          </w:p>
        </w:tc>
        <w:tc>
          <w:tcPr>
            <w:tcW w:type="dxa" w:w="7200"/>
          </w:tcPr>
          <w:p>
            <w:pPr>
              <w:keepNext w:val="0"/>
              <w:spacing w:after="80" w:before="80"/>
            </w:pPr>
            <w:r>
              <w:rPr>
                <w:b w:val="0"/>
                <w:sz w:val="18"/>
              </w:rPr>
              <w:t>Registration that matches the Fleet table.</w:t>
            </w:r>
          </w:p>
        </w:tc>
      </w:tr>
      <w:tr>
        <w:trPr>
          <w:cantSplit/>
        </w:trPr>
        <w:tc>
          <w:tcPr>
            <w:tcW w:type="dxa" w:w="2438"/>
          </w:tcPr>
          <w:p>
            <w:pPr>
              <w:keepNext w:val="0"/>
              <w:spacing w:after="80" w:before="80"/>
            </w:pPr>
            <w:r>
              <w:rPr>
                <w:b w:val="0"/>
                <w:sz w:val="18"/>
              </w:rPr>
              <w:t>Flight hours</w:t>
            </w:r>
          </w:p>
        </w:tc>
        <w:tc>
          <w:tcPr>
            <w:tcW w:type="dxa" w:w="7200"/>
          </w:tcPr>
          <w:p>
            <w:pPr>
              <w:keepNext w:val="0"/>
              <w:spacing w:after="80" w:before="80"/>
            </w:pPr>
            <w:r>
              <w:rPr>
                <w:b w:val="0"/>
                <w:sz w:val="18"/>
              </w:rPr>
              <w:t>Hours flown in this month; a checked zero represents an unflown aircraft.</w:t>
            </w:r>
          </w:p>
        </w:tc>
      </w:tr>
      <w:tr>
        <w:trPr>
          <w:cantSplit/>
        </w:trPr>
        <w:tc>
          <w:tcPr>
            <w:tcW w:type="dxa" w:w="2438"/>
          </w:tcPr>
          <w:p>
            <w:pPr>
              <w:keepNext w:val="0"/>
              <w:spacing w:after="80" w:before="80"/>
            </w:pPr>
            <w:r>
              <w:rPr>
                <w:b w:val="0"/>
                <w:sz w:val="18"/>
              </w:rPr>
              <w:t>Flight cycles</w:t>
            </w:r>
          </w:p>
        </w:tc>
        <w:tc>
          <w:tcPr>
            <w:tcW w:type="dxa" w:w="7200"/>
          </w:tcPr>
          <w:p>
            <w:pPr>
              <w:keepNext w:val="0"/>
              <w:spacing w:after="80" w:before="80"/>
            </w:pPr>
            <w:r>
              <w:rPr>
                <w:b w:val="0"/>
                <w:sz w:val="18"/>
              </w:rPr>
              <w:t>Cycles flown in this month, using the agreed departure convention.</w:t>
            </w:r>
          </w:p>
        </w:tc>
      </w:tr>
      <w:tr>
        <w:trPr>
          <w:cantSplit/>
        </w:trPr>
        <w:tc>
          <w:tcPr>
            <w:tcW w:type="dxa" w:w="2438"/>
          </w:tcPr>
          <w:p>
            <w:pPr>
              <w:keepNext w:val="0"/>
              <w:spacing w:after="80" w:before="80"/>
            </w:pPr>
            <w:r>
              <w:rPr>
                <w:b w:val="0"/>
                <w:sz w:val="18"/>
              </w:rPr>
              <w:t>Revenue cycles</w:t>
            </w:r>
          </w:p>
        </w:tc>
        <w:tc>
          <w:tcPr>
            <w:tcW w:type="dxa" w:w="7200"/>
          </w:tcPr>
          <w:p>
            <w:pPr>
              <w:keepNext w:val="0"/>
              <w:spacing w:after="80" w:before="80"/>
            </w:pPr>
            <w:r>
              <w:rPr>
                <w:b w:val="0"/>
                <w:sz w:val="18"/>
              </w:rPr>
              <w:t>Revenue departures in this month. Blank means not supplied; zero means none.</w:t>
            </w:r>
          </w:p>
        </w:tc>
      </w:tr>
    </w:tbl>
    <w:p>
      <w:pPr>
        <w:pStyle w:val="Heading2"/>
      </w:pPr>
      <w:r>
        <w:t>B.3. Alert levels</w:t>
      </w:r>
      <w:r>
        <w:rPr>
          <w:color w:val="50636A"/>
          <w:sz w:val="18"/>
        </w:rPr>
        <w:br/>
        <w:t>Appendix I 6.5.10.1</w:t>
        <w:t xml:space="preserve"> | AC 120-17B 4.1–4.2.1</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Report</w:t>
            </w:r>
          </w:p>
        </w:tc>
        <w:tc>
          <w:tcPr>
            <w:tcW w:type="dxa" w:w="7200"/>
          </w:tcPr>
          <w:p>
            <w:pPr>
              <w:keepNext w:val="0"/>
              <w:spacing w:after="80" w:before="80"/>
            </w:pPr>
            <w:r>
              <w:rPr>
                <w:b w:val="0"/>
                <w:sz w:val="18"/>
              </w:rPr>
              <w:t>PIREP, MAREP, Component removal, Delays or Cancellations.</w:t>
            </w:r>
          </w:p>
        </w:tc>
      </w:tr>
      <w:tr>
        <w:trPr>
          <w:cantSplit/>
        </w:trPr>
        <w:tc>
          <w:tcPr>
            <w:tcW w:type="dxa" w:w="2438"/>
          </w:tcPr>
          <w:p>
            <w:pPr>
              <w:keepNext w:val="0"/>
              <w:spacing w:after="80" w:before="80"/>
            </w:pPr>
            <w:r>
              <w:rPr>
                <w:b w:val="0"/>
                <w:sz w:val="18"/>
              </w:rPr>
              <w:t>ATA chapter</w:t>
            </w:r>
          </w:p>
        </w:tc>
        <w:tc>
          <w:tcPr>
            <w:tcW w:type="dxa" w:w="7200"/>
          </w:tcPr>
          <w:p>
            <w:pPr>
              <w:keepNext w:val="0"/>
              <w:spacing w:after="80" w:before="80"/>
            </w:pPr>
            <w:r>
              <w:rPr>
                <w:b w:val="0"/>
                <w:sz w:val="18"/>
              </w:rPr>
              <w:t>Chapter for PIREP, MAREP and Component removal; blank for Delays and Cancellations.</w:t>
            </w:r>
          </w:p>
        </w:tc>
      </w:tr>
      <w:tr>
        <w:trPr>
          <w:cantSplit/>
        </w:trPr>
        <w:tc>
          <w:tcPr>
            <w:tcW w:type="dxa" w:w="2438"/>
          </w:tcPr>
          <w:p>
            <w:pPr>
              <w:keepNext w:val="0"/>
              <w:spacing w:after="80" w:before="80"/>
            </w:pPr>
            <w:r>
              <w:rPr>
                <w:b w:val="0"/>
                <w:sz w:val="18"/>
              </w:rPr>
              <w:t>Alert level</w:t>
            </w:r>
          </w:p>
        </w:tc>
        <w:tc>
          <w:tcPr>
            <w:tcW w:type="dxa" w:w="7200"/>
          </w:tcPr>
          <w:p>
            <w:pPr>
              <w:keepNext w:val="0"/>
              <w:spacing w:after="80" w:before="80"/>
            </w:pPr>
            <w:r>
              <w:rPr>
                <w:b w:val="0"/>
                <w:sz w:val="18"/>
              </w:rPr>
              <w:t>Numeric level in the units selected for that report. Delay and cancellation levels use per 100 departures.</w:t>
            </w:r>
          </w:p>
        </w:tc>
      </w:tr>
      <w:tr>
        <w:trPr>
          <w:cantSplit/>
        </w:trPr>
        <w:tc>
          <w:tcPr>
            <w:tcW w:type="dxa" w:w="2438"/>
          </w:tcPr>
          <w:p>
            <w:pPr>
              <w:keepNext w:val="0"/>
              <w:spacing w:after="80" w:before="80"/>
            </w:pPr>
            <w:r>
              <w:rPr>
                <w:b w:val="0"/>
                <w:sz w:val="18"/>
              </w:rPr>
              <w:t>Effective from</w:t>
            </w:r>
          </w:p>
        </w:tc>
        <w:tc>
          <w:tcPr>
            <w:tcW w:type="dxa" w:w="7200"/>
          </w:tcPr>
          <w:p>
            <w:pPr>
              <w:keepNext w:val="0"/>
              <w:spacing w:after="80" w:before="80"/>
            </w:pPr>
            <w:r>
              <w:rPr>
                <w:b w:val="0"/>
                <w:sz w:val="18"/>
              </w:rPr>
              <w:t>YYYY-MM; the first month the approved level may be used.</w:t>
            </w:r>
          </w:p>
        </w:tc>
      </w:tr>
      <w:tr>
        <w:trPr>
          <w:cantSplit/>
        </w:trPr>
        <w:tc>
          <w:tcPr>
            <w:tcW w:type="dxa" w:w="2438"/>
          </w:tcPr>
          <w:p>
            <w:pPr>
              <w:keepNext w:val="0"/>
              <w:spacing w:after="80" w:before="80"/>
            </w:pPr>
            <w:r>
              <w:rPr>
                <w:b w:val="0"/>
                <w:sz w:val="18"/>
              </w:rPr>
              <w:t>Approval status</w:t>
            </w:r>
          </w:p>
        </w:tc>
        <w:tc>
          <w:tcPr>
            <w:tcW w:type="dxa" w:w="7200"/>
          </w:tcPr>
          <w:p>
            <w:pPr>
              <w:keepNext w:val="0"/>
              <w:spacing w:after="80" w:before="80"/>
            </w:pPr>
            <w:r>
              <w:rPr>
                <w:b w:val="0"/>
                <w:sz w:val="18"/>
              </w:rPr>
              <w:t>Proposed or Approved.</w:t>
            </w:r>
          </w:p>
        </w:tc>
      </w:tr>
      <w:tr>
        <w:trPr>
          <w:cantSplit/>
        </w:trPr>
        <w:tc>
          <w:tcPr>
            <w:tcW w:type="dxa" w:w="2438"/>
          </w:tcPr>
          <w:p>
            <w:pPr>
              <w:keepNext w:val="0"/>
              <w:spacing w:after="80" w:before="80"/>
            </w:pPr>
            <w:r>
              <w:rPr>
                <w:b w:val="0"/>
                <w:sz w:val="18"/>
              </w:rPr>
              <w:t>Basis</w:t>
            </w:r>
          </w:p>
        </w:tc>
        <w:tc>
          <w:tcPr>
            <w:tcW w:type="dxa" w:w="7200"/>
          </w:tcPr>
          <w:p>
            <w:pPr>
              <w:keepNext w:val="0"/>
              <w:spacing w:after="80" w:before="80"/>
            </w:pPr>
            <w:r>
              <w:rPr>
                <w:b w:val="0"/>
                <w:sz w:val="18"/>
              </w:rPr>
              <w:t>Method, units, baseline dates, observation and entry counts, interim status and engineering rationale.</w:t>
            </w:r>
          </w:p>
        </w:tc>
      </w:tr>
      <w:tr>
        <w:trPr>
          <w:cantSplit/>
        </w:trPr>
        <w:tc>
          <w:tcPr>
            <w:tcW w:type="dxa" w:w="2438"/>
          </w:tcPr>
          <w:p>
            <w:pPr>
              <w:keepNext w:val="0"/>
              <w:spacing w:after="80" w:before="80"/>
            </w:pPr>
            <w:r>
              <w:rPr>
                <w:b w:val="0"/>
                <w:sz w:val="18"/>
              </w:rPr>
              <w:t>Approved by</w:t>
            </w:r>
          </w:p>
        </w:tc>
        <w:tc>
          <w:tcPr>
            <w:tcW w:type="dxa" w:w="7200"/>
          </w:tcPr>
          <w:p>
            <w:pPr>
              <w:keepNext w:val="0"/>
              <w:spacing w:after="80" w:before="80"/>
            </w:pPr>
            <w:r>
              <w:rPr>
                <w:b w:val="0"/>
                <w:sz w:val="18"/>
              </w:rPr>
              <w:t>Authorised approver, recorded only once approval is given.</w:t>
            </w:r>
          </w:p>
        </w:tc>
      </w:tr>
      <w:tr>
        <w:trPr>
          <w:cantSplit/>
        </w:trPr>
        <w:tc>
          <w:tcPr>
            <w:tcW w:type="dxa" w:w="2438"/>
          </w:tcPr>
          <w:p>
            <w:pPr>
              <w:keepNext w:val="0"/>
              <w:spacing w:after="80" w:before="80"/>
            </w:pPr>
            <w:r>
              <w:rPr>
                <w:b w:val="0"/>
                <w:sz w:val="18"/>
              </w:rPr>
              <w:t>Approved on</w:t>
            </w:r>
          </w:p>
        </w:tc>
        <w:tc>
          <w:tcPr>
            <w:tcW w:type="dxa" w:w="7200"/>
          </w:tcPr>
          <w:p>
            <w:pPr>
              <w:keepNext w:val="0"/>
              <w:spacing w:after="80" w:before="80"/>
            </w:pPr>
            <w:r>
              <w:rPr>
                <w:b w:val="0"/>
                <w:sz w:val="18"/>
              </w:rPr>
              <w:t>Approval date: YYYY-MM-DD; blank for a proposal.</w:t>
            </w:r>
          </w:p>
        </w:tc>
      </w:tr>
    </w:tbl>
    <w:p>
      <w:pPr>
        <w:pStyle w:val="Heading2"/>
      </w:pPr>
      <w:r>
        <w:t>B.4. Reliability actions</w:t>
      </w:r>
      <w:r>
        <w:rPr>
          <w:color w:val="50636A"/>
          <w:sz w:val="18"/>
        </w:rPr>
        <w:br/>
        <w:t>Appendix I 6.4.3; 6.5.7</w:t>
        <w:t xml:space="preserve"> | AC 120-17B 5.3; 7.1.1</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Reference</w:t>
            </w:r>
          </w:p>
        </w:tc>
        <w:tc>
          <w:tcPr>
            <w:tcW w:type="dxa" w:w="7200"/>
          </w:tcPr>
          <w:p>
            <w:pPr>
              <w:keepNext w:val="0"/>
              <w:spacing w:after="80" w:before="80"/>
            </w:pPr>
            <w:r>
              <w:rPr>
                <w:b w:val="0"/>
                <w:sz w:val="18"/>
              </w:rPr>
              <w:t>Unique action or decision reference.</w:t>
            </w:r>
          </w:p>
        </w:tc>
      </w:tr>
      <w:tr>
        <w:trPr>
          <w:cantSplit/>
        </w:trPr>
        <w:tc>
          <w:tcPr>
            <w:tcW w:type="dxa" w:w="2438"/>
          </w:tcPr>
          <w:p>
            <w:pPr>
              <w:keepNext w:val="0"/>
              <w:spacing w:after="80" w:before="80"/>
            </w:pPr>
            <w:r>
              <w:rPr>
                <w:b w:val="0"/>
                <w:sz w:val="18"/>
              </w:rPr>
              <w:t>Raised in report</w:t>
            </w:r>
          </w:p>
        </w:tc>
        <w:tc>
          <w:tcPr>
            <w:tcW w:type="dxa" w:w="7200"/>
          </w:tcPr>
          <w:p>
            <w:pPr>
              <w:keepNext w:val="0"/>
              <w:spacing w:after="80" w:before="80"/>
            </w:pPr>
            <w:r>
              <w:rPr>
                <w:b w:val="0"/>
                <w:sz w:val="18"/>
              </w:rPr>
              <w:t>Originating report or event-investigation reference.</w:t>
            </w:r>
          </w:p>
        </w:tc>
      </w:tr>
      <w:tr>
        <w:trPr>
          <w:cantSplit/>
        </w:trPr>
        <w:tc>
          <w:tcPr>
            <w:tcW w:type="dxa" w:w="2438"/>
          </w:tcPr>
          <w:p>
            <w:pPr>
              <w:keepNext w:val="0"/>
              <w:spacing w:after="80" w:before="80"/>
            </w:pPr>
            <w:r>
              <w:rPr>
                <w:b w:val="0"/>
                <w:sz w:val="18"/>
              </w:rPr>
              <w:t>Item</w:t>
            </w:r>
          </w:p>
        </w:tc>
        <w:tc>
          <w:tcPr>
            <w:tcW w:type="dxa" w:w="7200"/>
          </w:tcPr>
          <w:p>
            <w:pPr>
              <w:keepNext w:val="0"/>
              <w:spacing w:after="80" w:before="80"/>
            </w:pPr>
            <w:r>
              <w:rPr>
                <w:b w:val="0"/>
                <w:sz w:val="18"/>
              </w:rPr>
              <w:t>Aircraft, system, component, task or event.</w:t>
            </w:r>
          </w:p>
        </w:tc>
      </w:tr>
      <w:tr>
        <w:trPr>
          <w:cantSplit/>
        </w:trPr>
        <w:tc>
          <w:tcPr>
            <w:tcW w:type="dxa" w:w="2438"/>
          </w:tcPr>
          <w:p>
            <w:pPr>
              <w:keepNext w:val="0"/>
              <w:spacing w:after="80" w:before="80"/>
            </w:pPr>
            <w:r>
              <w:rPr>
                <w:b w:val="0"/>
                <w:sz w:val="18"/>
              </w:rPr>
              <w:t>Decision</w:t>
            </w:r>
          </w:p>
        </w:tc>
        <w:tc>
          <w:tcPr>
            <w:tcW w:type="dxa" w:w="7200"/>
          </w:tcPr>
          <w:p>
            <w:pPr>
              <w:keepNext w:val="0"/>
              <w:spacing w:after="80" w:before="80"/>
            </w:pPr>
            <w:r>
              <w:rPr>
                <w:b w:val="0"/>
                <w:sz w:val="18"/>
              </w:rPr>
              <w:t>Corrective action or No action.</w:t>
            </w:r>
          </w:p>
        </w:tc>
      </w:tr>
      <w:tr>
        <w:trPr>
          <w:cantSplit/>
        </w:trPr>
        <w:tc>
          <w:tcPr>
            <w:tcW w:type="dxa" w:w="2438"/>
          </w:tcPr>
          <w:p>
            <w:pPr>
              <w:keepNext w:val="0"/>
              <w:spacing w:after="80" w:before="80"/>
            </w:pPr>
            <w:r>
              <w:rPr>
                <w:b w:val="0"/>
                <w:sz w:val="18"/>
              </w:rPr>
              <w:t>Reason</w:t>
            </w:r>
          </w:p>
        </w:tc>
        <w:tc>
          <w:tcPr>
            <w:tcW w:type="dxa" w:w="7200"/>
          </w:tcPr>
          <w:p>
            <w:pPr>
              <w:keepNext w:val="0"/>
              <w:spacing w:after="80" w:before="80"/>
            </w:pPr>
            <w:r>
              <w:rPr>
                <w:b w:val="0"/>
                <w:sz w:val="18"/>
              </w:rPr>
              <w:t>Cause, evidence and reason for the decision, including any decision not to act.</w:t>
            </w:r>
          </w:p>
        </w:tc>
      </w:tr>
      <w:tr>
        <w:trPr>
          <w:cantSplit/>
        </w:trPr>
        <w:tc>
          <w:tcPr>
            <w:tcW w:type="dxa" w:w="2438"/>
          </w:tcPr>
          <w:p>
            <w:pPr>
              <w:keepNext w:val="0"/>
              <w:spacing w:after="80" w:before="80"/>
            </w:pPr>
            <w:r>
              <w:rPr>
                <w:b w:val="0"/>
                <w:sz w:val="18"/>
              </w:rPr>
              <w:t>Action</w:t>
            </w:r>
          </w:p>
        </w:tc>
        <w:tc>
          <w:tcPr>
            <w:tcW w:type="dxa" w:w="7200"/>
          </w:tcPr>
          <w:p>
            <w:pPr>
              <w:keepNext w:val="0"/>
              <w:spacing w:after="80" w:before="80"/>
            </w:pPr>
            <w:r>
              <w:rPr>
                <w:b w:val="0"/>
                <w:sz w:val="18"/>
              </w:rPr>
              <w:t>Required work and the effectiveness check, or the reason no work is required.</w:t>
            </w:r>
          </w:p>
        </w:tc>
      </w:tr>
      <w:tr>
        <w:trPr>
          <w:cantSplit/>
        </w:trPr>
        <w:tc>
          <w:tcPr>
            <w:tcW w:type="dxa" w:w="2438"/>
          </w:tcPr>
          <w:p>
            <w:pPr>
              <w:keepNext w:val="0"/>
              <w:spacing w:after="80" w:before="80"/>
            </w:pPr>
            <w:r>
              <w:rPr>
                <w:b w:val="0"/>
                <w:sz w:val="18"/>
              </w:rPr>
              <w:t>Owner</w:t>
            </w:r>
          </w:p>
        </w:tc>
        <w:tc>
          <w:tcPr>
            <w:tcW w:type="dxa" w:w="7200"/>
          </w:tcPr>
          <w:p>
            <w:pPr>
              <w:keepNext w:val="0"/>
              <w:spacing w:after="80" w:before="80"/>
            </w:pPr>
            <w:r>
              <w:rPr>
                <w:b w:val="0"/>
                <w:sz w:val="18"/>
              </w:rPr>
              <w:t>Person responsible.</w:t>
            </w:r>
          </w:p>
        </w:tc>
      </w:tr>
      <w:tr>
        <w:trPr>
          <w:cantSplit/>
        </w:trPr>
        <w:tc>
          <w:tcPr>
            <w:tcW w:type="dxa" w:w="2438"/>
          </w:tcPr>
          <w:p>
            <w:pPr>
              <w:keepNext w:val="0"/>
              <w:spacing w:after="80" w:before="80"/>
            </w:pPr>
            <w:r>
              <w:rPr>
                <w:b w:val="0"/>
                <w:sz w:val="18"/>
              </w:rPr>
              <w:t>Planned completion</w:t>
            </w:r>
          </w:p>
        </w:tc>
        <w:tc>
          <w:tcPr>
            <w:tcW w:type="dxa" w:w="7200"/>
          </w:tcPr>
          <w:p>
            <w:pPr>
              <w:keepNext w:val="0"/>
              <w:spacing w:after="80" w:before="80"/>
            </w:pPr>
            <w:r>
              <w:rPr>
                <w:b w:val="0"/>
                <w:sz w:val="18"/>
              </w:rPr>
              <w:t>Planned date: YYYY-MM-DD, where applicable.</w:t>
            </w:r>
          </w:p>
        </w:tc>
      </w:tr>
      <w:tr>
        <w:trPr>
          <w:cantSplit/>
        </w:trPr>
        <w:tc>
          <w:tcPr>
            <w:tcW w:type="dxa" w:w="2438"/>
          </w:tcPr>
          <w:p>
            <w:pPr>
              <w:keepNext w:val="0"/>
              <w:spacing w:after="80" w:before="80"/>
            </w:pPr>
            <w:r>
              <w:rPr>
                <w:b w:val="0"/>
                <w:sz w:val="18"/>
              </w:rPr>
              <w:t>Action status</w:t>
            </w:r>
          </w:p>
        </w:tc>
        <w:tc>
          <w:tcPr>
            <w:tcW w:type="dxa" w:w="7200"/>
          </w:tcPr>
          <w:p>
            <w:pPr>
              <w:keepNext w:val="0"/>
              <w:spacing w:after="80" w:before="80"/>
            </w:pPr>
            <w:r>
              <w:rPr>
                <w:b w:val="0"/>
                <w:sz w:val="18"/>
              </w:rPr>
              <w:t>Open or Closed for corrective action. For No action, this is blank unless the engineer states Open or Closed.</w:t>
            </w:r>
          </w:p>
        </w:tc>
      </w:tr>
      <w:tr>
        <w:trPr>
          <w:cantSplit/>
        </w:trPr>
        <w:tc>
          <w:tcPr>
            <w:tcW w:type="dxa" w:w="2438"/>
          </w:tcPr>
          <w:p>
            <w:pPr>
              <w:keepNext w:val="0"/>
              <w:spacing w:after="80" w:before="80"/>
            </w:pPr>
            <w:r>
              <w:rPr>
                <w:b w:val="0"/>
                <w:sz w:val="18"/>
              </w:rPr>
              <w:t>Closed on</w:t>
            </w:r>
          </w:p>
        </w:tc>
        <w:tc>
          <w:tcPr>
            <w:tcW w:type="dxa" w:w="7200"/>
          </w:tcPr>
          <w:p>
            <w:pPr>
              <w:keepNext w:val="0"/>
              <w:spacing w:after="80" w:before="80"/>
            </w:pPr>
            <w:r>
              <w:rPr>
                <w:b w:val="0"/>
                <w:sz w:val="18"/>
              </w:rPr>
              <w:t>Closure date: YYYY-MM-DD. Action or Reason holds the reference to completion and effectiveness evidence.</w:t>
            </w:r>
          </w:p>
        </w:tc>
      </w:tr>
    </w:tbl>
    <w:p>
      <w:pPr>
        <w:pStyle w:val="Heading2"/>
      </w:pPr>
      <w:r>
        <w:t>B.5. Component removals (optional)</w:t>
      </w:r>
      <w:r>
        <w:rPr>
          <w:color w:val="50636A"/>
          <w:sz w:val="18"/>
        </w:rPr>
        <w:br/>
        <w:t>Appendix I 6.5.2; 6.5.4; 6.5.6</w:t>
        <w:t xml:space="preserve"> | AC 120-17B 3.1–3.3; 5.1.1(3)</w:t>
      </w:r>
    </w:p>
    <w:p>
      <w:r>
        <w:t>We use this register when Component reliability in section 8 is Included. Otherwise we review removals and shop evidence through the technical logs and maintenance reports described there; the component review remains part of our programme.</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Date</w:t>
            </w:r>
          </w:p>
        </w:tc>
        <w:tc>
          <w:tcPr>
            <w:tcW w:type="dxa" w:w="7200"/>
          </w:tcPr>
          <w:p>
            <w:pPr>
              <w:keepNext w:val="0"/>
              <w:spacing w:after="80" w:before="80"/>
            </w:pPr>
            <w:r>
              <w:rPr>
                <w:b w:val="0"/>
                <w:sz w:val="18"/>
              </w:rPr>
              <w:t>Removal date: YYYY-MM-DD.</w:t>
            </w:r>
          </w:p>
        </w:tc>
      </w:tr>
      <w:tr>
        <w:trPr>
          <w:cantSplit/>
        </w:trPr>
        <w:tc>
          <w:tcPr>
            <w:tcW w:type="dxa" w:w="2438"/>
          </w:tcPr>
          <w:p>
            <w:pPr>
              <w:keepNext w:val="0"/>
              <w:spacing w:after="80" w:before="80"/>
            </w:pPr>
            <w:r>
              <w:rPr>
                <w:b w:val="0"/>
                <w:sz w:val="18"/>
              </w:rPr>
              <w:t>Aircraft</w:t>
            </w:r>
          </w:p>
        </w:tc>
        <w:tc>
          <w:tcPr>
            <w:tcW w:type="dxa" w:w="7200"/>
          </w:tcPr>
          <w:p>
            <w:pPr>
              <w:keepNext w:val="0"/>
              <w:spacing w:after="80" w:before="80"/>
            </w:pPr>
            <w:r>
              <w:rPr>
                <w:b w:val="0"/>
                <w:sz w:val="18"/>
              </w:rPr>
              <w:t>Registration that matches the Fleet table.</w:t>
            </w:r>
          </w:p>
        </w:tc>
      </w:tr>
      <w:tr>
        <w:trPr>
          <w:cantSplit/>
        </w:trPr>
        <w:tc>
          <w:tcPr>
            <w:tcW w:type="dxa" w:w="2438"/>
          </w:tcPr>
          <w:p>
            <w:pPr>
              <w:keepNext w:val="0"/>
              <w:spacing w:after="80" w:before="80"/>
            </w:pPr>
            <w:r>
              <w:rPr>
                <w:b w:val="0"/>
                <w:sz w:val="18"/>
              </w:rPr>
              <w:t>ATA chapter</w:t>
            </w:r>
          </w:p>
        </w:tc>
        <w:tc>
          <w:tcPr>
            <w:tcW w:type="dxa" w:w="7200"/>
          </w:tcPr>
          <w:p>
            <w:pPr>
              <w:keepNext w:val="0"/>
              <w:spacing w:after="80" w:before="80"/>
            </w:pPr>
            <w:r>
              <w:rPr>
                <w:b w:val="0"/>
                <w:sz w:val="18"/>
              </w:rPr>
              <w:t>Component system chapter.</w:t>
            </w:r>
          </w:p>
        </w:tc>
      </w:tr>
      <w:tr>
        <w:trPr>
          <w:cantSplit/>
        </w:trPr>
        <w:tc>
          <w:tcPr>
            <w:tcW w:type="dxa" w:w="2438"/>
          </w:tcPr>
          <w:p>
            <w:pPr>
              <w:keepNext w:val="0"/>
              <w:spacing w:after="80" w:before="80"/>
            </w:pPr>
            <w:r>
              <w:rPr>
                <w:b w:val="0"/>
                <w:sz w:val="18"/>
              </w:rPr>
              <w:t>Part number</w:t>
            </w:r>
          </w:p>
        </w:tc>
        <w:tc>
          <w:tcPr>
            <w:tcW w:type="dxa" w:w="7200"/>
          </w:tcPr>
          <w:p>
            <w:pPr>
              <w:keepNext w:val="0"/>
              <w:spacing w:after="80" w:before="80"/>
            </w:pPr>
            <w:r>
              <w:rPr>
                <w:b w:val="0"/>
                <w:sz w:val="18"/>
              </w:rPr>
              <w:t>Exact component part number.</w:t>
            </w:r>
          </w:p>
        </w:tc>
      </w:tr>
      <w:tr>
        <w:trPr>
          <w:cantSplit/>
        </w:trPr>
        <w:tc>
          <w:tcPr>
            <w:tcW w:type="dxa" w:w="2438"/>
          </w:tcPr>
          <w:p>
            <w:pPr>
              <w:keepNext w:val="0"/>
              <w:spacing w:after="80" w:before="80"/>
            </w:pPr>
            <w:r>
              <w:rPr>
                <w:b w:val="0"/>
                <w:sz w:val="18"/>
              </w:rPr>
              <w:t>Serial number</w:t>
            </w:r>
          </w:p>
        </w:tc>
        <w:tc>
          <w:tcPr>
            <w:tcW w:type="dxa" w:w="7200"/>
          </w:tcPr>
          <w:p>
            <w:pPr>
              <w:keepNext w:val="0"/>
              <w:spacing w:after="80" w:before="80"/>
            </w:pPr>
            <w:r>
              <w:rPr>
                <w:b w:val="0"/>
                <w:sz w:val="18"/>
              </w:rPr>
              <w:t>Exact component serial number.</w:t>
            </w:r>
          </w:p>
        </w:tc>
      </w:tr>
      <w:tr>
        <w:trPr>
          <w:cantSplit/>
        </w:trPr>
        <w:tc>
          <w:tcPr>
            <w:tcW w:type="dxa" w:w="2438"/>
          </w:tcPr>
          <w:p>
            <w:pPr>
              <w:keepNext w:val="0"/>
              <w:spacing w:after="80" w:before="80"/>
            </w:pPr>
            <w:r>
              <w:rPr>
                <w:b w:val="0"/>
                <w:sz w:val="18"/>
              </w:rPr>
              <w:t>Description</w:t>
            </w:r>
          </w:p>
        </w:tc>
        <w:tc>
          <w:tcPr>
            <w:tcW w:type="dxa" w:w="7200"/>
          </w:tcPr>
          <w:p>
            <w:pPr>
              <w:keepNext w:val="0"/>
              <w:spacing w:after="80" w:before="80"/>
            </w:pPr>
            <w:r>
              <w:rPr>
                <w:b w:val="0"/>
                <w:sz w:val="18"/>
              </w:rPr>
              <w:t>Removal reason and source or shop-report reference.</w:t>
            </w:r>
          </w:p>
        </w:tc>
      </w:tr>
      <w:tr>
        <w:trPr>
          <w:cantSplit/>
        </w:trPr>
        <w:tc>
          <w:tcPr>
            <w:tcW w:type="dxa" w:w="2438"/>
          </w:tcPr>
          <w:p>
            <w:pPr>
              <w:keepNext w:val="0"/>
              <w:spacing w:after="80" w:before="80"/>
            </w:pPr>
            <w:r>
              <w:rPr>
                <w:b w:val="0"/>
                <w:sz w:val="18"/>
              </w:rPr>
              <w:t>Removal</w:t>
            </w:r>
          </w:p>
        </w:tc>
        <w:tc>
          <w:tcPr>
            <w:tcW w:type="dxa" w:w="7200"/>
          </w:tcPr>
          <w:p>
            <w:pPr>
              <w:keepNext w:val="0"/>
              <w:spacing w:after="80" w:before="80"/>
            </w:pPr>
            <w:r>
              <w:rPr>
                <w:b w:val="0"/>
                <w:sz w:val="18"/>
              </w:rPr>
              <w:t>Unscheduled or Scheduled.</w:t>
            </w:r>
          </w:p>
        </w:tc>
      </w:tr>
      <w:tr>
        <w:trPr>
          <w:cantSplit/>
        </w:trPr>
        <w:tc>
          <w:tcPr>
            <w:tcW w:type="dxa" w:w="2438"/>
          </w:tcPr>
          <w:p>
            <w:pPr>
              <w:keepNext w:val="0"/>
              <w:spacing w:after="80" w:before="80"/>
            </w:pPr>
            <w:r>
              <w:rPr>
                <w:b w:val="0"/>
                <w:sz w:val="18"/>
              </w:rPr>
              <w:t>Shop finding</w:t>
            </w:r>
          </w:p>
        </w:tc>
        <w:tc>
          <w:tcPr>
            <w:tcW w:type="dxa" w:w="7200"/>
          </w:tcPr>
          <w:p>
            <w:pPr>
              <w:keepNext w:val="0"/>
              <w:spacing w:after="80" w:before="80"/>
            </w:pPr>
            <w:r>
              <w:rPr>
                <w:b w:val="0"/>
                <w:sz w:val="18"/>
              </w:rPr>
              <w:t>Confirmed failure, No fault found or Not yet known.</w:t>
            </w:r>
          </w:p>
        </w:tc>
      </w:tr>
      <w:tr>
        <w:trPr>
          <w:cantSplit/>
        </w:trPr>
        <w:tc>
          <w:tcPr>
            <w:tcW w:type="dxa" w:w="2438"/>
          </w:tcPr>
          <w:p>
            <w:pPr>
              <w:keepNext w:val="0"/>
              <w:spacing w:after="80" w:before="80"/>
            </w:pPr>
            <w:r>
              <w:rPr>
                <w:b w:val="0"/>
                <w:sz w:val="18"/>
              </w:rPr>
              <w:t>Quantity per aircraft</w:t>
            </w:r>
          </w:p>
        </w:tc>
        <w:tc>
          <w:tcPr>
            <w:tcW w:type="dxa" w:w="7200"/>
          </w:tcPr>
          <w:p>
            <w:pPr>
              <w:keepNext w:val="0"/>
              <w:spacing w:after="80" w:before="80"/>
            </w:pPr>
            <w:r>
              <w:rPr>
                <w:b w:val="0"/>
                <w:sz w:val="18"/>
              </w:rPr>
              <w:t>Number of installed units represented by this part-number exposure, checked against fleet configuration.</w:t>
            </w:r>
          </w:p>
        </w:tc>
      </w:tr>
      <w:tr>
        <w:trPr>
          <w:cantSplit/>
        </w:trPr>
        <w:tc>
          <w:tcPr>
            <w:tcW w:type="dxa" w:w="2438"/>
          </w:tcPr>
          <w:p>
            <w:pPr>
              <w:keepNext w:val="0"/>
              <w:spacing w:after="80" w:before="80"/>
            </w:pPr>
            <w:r>
              <w:rPr>
                <w:b w:val="0"/>
                <w:sz w:val="18"/>
              </w:rPr>
              <w:t>Engineer check</w:t>
            </w:r>
          </w:p>
        </w:tc>
        <w:tc>
          <w:tcPr>
            <w:tcW w:type="dxa" w:w="7200"/>
          </w:tcPr>
          <w:p>
            <w:pPr>
              <w:keepNext w:val="0"/>
              <w:spacing w:after="80" w:before="80"/>
            </w:pPr>
            <w:r>
              <w:rPr>
                <w:b w:val="0"/>
                <w:sz w:val="18"/>
              </w:rPr>
              <w:t>To check or Checked.</w:t>
            </w:r>
          </w:p>
        </w:tc>
      </w:tr>
      <w:tr>
        <w:trPr>
          <w:cantSplit/>
        </w:trPr>
        <w:tc>
          <w:tcPr>
            <w:tcW w:type="dxa" w:w="2438"/>
          </w:tcPr>
          <w:p>
            <w:pPr>
              <w:keepNext w:val="0"/>
              <w:spacing w:after="80" w:before="80"/>
            </w:pPr>
            <w:r>
              <w:rPr>
                <w:b w:val="0"/>
                <w:sz w:val="18"/>
              </w:rPr>
              <w:t>Check reason</w:t>
            </w:r>
          </w:p>
        </w:tc>
        <w:tc>
          <w:tcPr>
            <w:tcW w:type="dxa" w:w="7200"/>
          </w:tcPr>
          <w:p>
            <w:pPr>
              <w:keepNext w:val="0"/>
              <w:spacing w:after="80" w:before="80"/>
            </w:pPr>
            <w:r>
              <w:rPr>
                <w:b w:val="0"/>
                <w:sz w:val="18"/>
              </w:rPr>
              <w:t>The named data problem or correction reference.</w:t>
            </w:r>
          </w:p>
        </w:tc>
      </w:tr>
    </w:tbl>
    <w:p>
      <w:pPr>
        <w:pStyle w:val="Heading2"/>
      </w:pPr>
      <w:r>
        <w:t>B.6. Scheduled task findings (optional register)</w:t>
      </w:r>
      <w:r>
        <w:rPr>
          <w:color w:val="50636A"/>
          <w:sz w:val="18"/>
        </w:rPr>
        <w:br/>
        <w:t>Appendix I 6.5.1.3; 6.5.4; 6.5.6</w:t>
        <w:t xml:space="preserve"> | AC 120-17B 5.2.1–5.2.9</w:t>
      </w:r>
    </w:p>
    <w:p>
      <w:r>
        <w:t>We use this register when Task effectiveness in section 8 is Included. Otherwise the task-to-evidence list and source work packs described there provide the review record. We retain all required MSG-3 task and interval monitoring.</w:t>
      </w:r>
    </w:p>
    <w:tbl>
      <w:tblPr>
        <w:tblStyle w:val="TableGrid"/>
        <w:tblW w:type="auto" w:w="0"/>
        <w:tblLayout w:type="fixed"/>
        <w:tblLook w:firstColumn="1" w:firstRow="1" w:lastColumn="0" w:lastRow="0" w:noHBand="0" w:noVBand="1" w:val="04A0"/>
      </w:tblPr>
      <w:tblGrid>
        <w:gridCol w:w="2438"/>
        <w:gridCol w:w="7200"/>
      </w:tblGrid>
      <w:tr>
        <w:trPr>
          <w:cantSplit/>
          <w:tblHeader/>
        </w:trPr>
        <w:tc>
          <w:tcPr>
            <w:tcW w:type="dxa" w:w="2438"/>
            <w:shd w:fill="E5EEF0"/>
          </w:tcPr>
          <w:p>
            <w:pPr>
              <w:keepNext/>
              <w:spacing w:after="80" w:before="80"/>
            </w:pPr>
            <w:r>
              <w:rPr>
                <w:b/>
                <w:sz w:val="18"/>
              </w:rPr>
              <w:t>Column</w:t>
            </w:r>
          </w:p>
        </w:tc>
        <w:tc>
          <w:tcPr>
            <w:tcW w:type="dxa" w:w="7200"/>
            <w:shd w:fill="E5EEF0"/>
          </w:tcPr>
          <w:p>
            <w:pPr>
              <w:keepNext/>
              <w:spacing w:after="80" w:before="80"/>
            </w:pPr>
            <w:r>
              <w:rPr>
                <w:b/>
                <w:sz w:val="18"/>
              </w:rPr>
              <w:t>Required content / meaning</w:t>
            </w:r>
          </w:p>
        </w:tc>
      </w:tr>
      <w:tr>
        <w:trPr>
          <w:cantSplit/>
        </w:trPr>
        <w:tc>
          <w:tcPr>
            <w:tcW w:type="dxa" w:w="2438"/>
          </w:tcPr>
          <w:p>
            <w:pPr>
              <w:keepNext w:val="0"/>
              <w:spacing w:after="80" w:before="80"/>
            </w:pPr>
            <w:r>
              <w:rPr>
                <w:b w:val="0"/>
                <w:sz w:val="18"/>
              </w:rPr>
              <w:t>Task number</w:t>
            </w:r>
          </w:p>
        </w:tc>
        <w:tc>
          <w:tcPr>
            <w:tcW w:type="dxa" w:w="7200"/>
          </w:tcPr>
          <w:p>
            <w:pPr>
              <w:keepNext w:val="0"/>
              <w:spacing w:after="80" w:before="80"/>
            </w:pPr>
            <w:r>
              <w:rPr>
                <w:b w:val="0"/>
                <w:sz w:val="18"/>
              </w:rPr>
              <w:t>Controlled task identifier.</w:t>
            </w:r>
          </w:p>
        </w:tc>
      </w:tr>
      <w:tr>
        <w:trPr>
          <w:cantSplit/>
        </w:trPr>
        <w:tc>
          <w:tcPr>
            <w:tcW w:type="dxa" w:w="2438"/>
          </w:tcPr>
          <w:p>
            <w:pPr>
              <w:keepNext w:val="0"/>
              <w:spacing w:after="80" w:before="80"/>
            </w:pPr>
            <w:r>
              <w:rPr>
                <w:b w:val="0"/>
                <w:sz w:val="18"/>
              </w:rPr>
              <w:t>Task title</w:t>
            </w:r>
          </w:p>
        </w:tc>
        <w:tc>
          <w:tcPr>
            <w:tcW w:type="dxa" w:w="7200"/>
          </w:tcPr>
          <w:p>
            <w:pPr>
              <w:keepNext w:val="0"/>
              <w:spacing w:after="80" w:before="80"/>
            </w:pPr>
            <w:r>
              <w:rPr>
                <w:b w:val="0"/>
                <w:sz w:val="18"/>
              </w:rPr>
              <w:t>Task description.</w:t>
            </w:r>
          </w:p>
        </w:tc>
      </w:tr>
      <w:tr>
        <w:trPr>
          <w:cantSplit/>
        </w:trPr>
        <w:tc>
          <w:tcPr>
            <w:tcW w:type="dxa" w:w="2438"/>
          </w:tcPr>
          <w:p>
            <w:pPr>
              <w:keepNext w:val="0"/>
              <w:spacing w:after="80" w:before="80"/>
            </w:pPr>
            <w:r>
              <w:rPr>
                <w:b w:val="0"/>
                <w:sz w:val="18"/>
              </w:rPr>
              <w:t>Aircraft</w:t>
            </w:r>
          </w:p>
        </w:tc>
        <w:tc>
          <w:tcPr>
            <w:tcW w:type="dxa" w:w="7200"/>
          </w:tcPr>
          <w:p>
            <w:pPr>
              <w:keepNext w:val="0"/>
              <w:spacing w:after="80" w:before="80"/>
            </w:pPr>
            <w:r>
              <w:rPr>
                <w:b w:val="0"/>
                <w:sz w:val="18"/>
              </w:rPr>
              <w:t>Registration that matches the Fleet table.</w:t>
            </w:r>
          </w:p>
        </w:tc>
      </w:tr>
      <w:tr>
        <w:trPr>
          <w:cantSplit/>
        </w:trPr>
        <w:tc>
          <w:tcPr>
            <w:tcW w:type="dxa" w:w="2438"/>
          </w:tcPr>
          <w:p>
            <w:pPr>
              <w:keepNext w:val="0"/>
              <w:spacing w:after="80" w:before="80"/>
            </w:pPr>
            <w:r>
              <w:rPr>
                <w:b w:val="0"/>
                <w:sz w:val="18"/>
              </w:rPr>
              <w:t>Done on</w:t>
            </w:r>
          </w:p>
        </w:tc>
        <w:tc>
          <w:tcPr>
            <w:tcW w:type="dxa" w:w="7200"/>
          </w:tcPr>
          <w:p>
            <w:pPr>
              <w:keepNext w:val="0"/>
              <w:spacing w:after="80" w:before="80"/>
            </w:pPr>
            <w:r>
              <w:rPr>
                <w:b w:val="0"/>
                <w:sz w:val="18"/>
              </w:rPr>
              <w:t>Accomplishment date: YYYY-MM-DD.</w:t>
            </w:r>
          </w:p>
        </w:tc>
      </w:tr>
      <w:tr>
        <w:trPr>
          <w:cantSplit/>
        </w:trPr>
        <w:tc>
          <w:tcPr>
            <w:tcW w:type="dxa" w:w="2438"/>
          </w:tcPr>
          <w:p>
            <w:pPr>
              <w:keepNext w:val="0"/>
              <w:spacing w:after="80" w:before="80"/>
            </w:pPr>
            <w:r>
              <w:rPr>
                <w:b w:val="0"/>
                <w:sz w:val="18"/>
              </w:rPr>
              <w:t>Interval</w:t>
            </w:r>
          </w:p>
        </w:tc>
        <w:tc>
          <w:tcPr>
            <w:tcW w:type="dxa" w:w="7200"/>
          </w:tcPr>
          <w:p>
            <w:pPr>
              <w:keepNext w:val="0"/>
              <w:spacing w:after="80" w:before="80"/>
            </w:pPr>
            <w:r>
              <w:rPr>
                <w:b w:val="0"/>
                <w:sz w:val="18"/>
              </w:rPr>
              <w:t>Defined interval in the stated unit.</w:t>
            </w:r>
          </w:p>
        </w:tc>
      </w:tr>
      <w:tr>
        <w:trPr>
          <w:cantSplit/>
        </w:trPr>
        <w:tc>
          <w:tcPr>
            <w:tcW w:type="dxa" w:w="2438"/>
          </w:tcPr>
          <w:p>
            <w:pPr>
              <w:keepNext w:val="0"/>
              <w:spacing w:after="80" w:before="80"/>
            </w:pPr>
            <w:r>
              <w:rPr>
                <w:b w:val="0"/>
                <w:sz w:val="18"/>
              </w:rPr>
              <w:t>Interval unit</w:t>
            </w:r>
          </w:p>
        </w:tc>
        <w:tc>
          <w:tcPr>
            <w:tcW w:type="dxa" w:w="7200"/>
          </w:tcPr>
          <w:p>
            <w:pPr>
              <w:keepNext w:val="0"/>
              <w:spacing w:after="80" w:before="80"/>
            </w:pPr>
            <w:r>
              <w:rPr>
                <w:b w:val="0"/>
                <w:sz w:val="18"/>
              </w:rPr>
              <w:t>Flight hours, Flight cycles, Days or Months.</w:t>
            </w:r>
          </w:p>
        </w:tc>
      </w:tr>
      <w:tr>
        <w:trPr>
          <w:cantSplit/>
        </w:trPr>
        <w:tc>
          <w:tcPr>
            <w:tcW w:type="dxa" w:w="2438"/>
          </w:tcPr>
          <w:p>
            <w:pPr>
              <w:keepNext w:val="0"/>
              <w:spacing w:after="80" w:before="80"/>
            </w:pPr>
            <w:r>
              <w:rPr>
                <w:b w:val="0"/>
                <w:sz w:val="18"/>
              </w:rPr>
              <w:t>Done at</w:t>
            </w:r>
          </w:p>
        </w:tc>
        <w:tc>
          <w:tcPr>
            <w:tcW w:type="dxa" w:w="7200"/>
          </w:tcPr>
          <w:p>
            <w:pPr>
              <w:keepNext w:val="0"/>
              <w:spacing w:after="80" w:before="80"/>
            </w:pPr>
            <w:r>
              <w:rPr>
                <w:b w:val="0"/>
                <w:sz w:val="18"/>
              </w:rPr>
              <w:t>Actual elapsed interval since the previous accomplishment, in the same unit; not total aircraft life.</w:t>
            </w:r>
          </w:p>
        </w:tc>
      </w:tr>
      <w:tr>
        <w:trPr>
          <w:cantSplit/>
        </w:trPr>
        <w:tc>
          <w:tcPr>
            <w:tcW w:type="dxa" w:w="2438"/>
          </w:tcPr>
          <w:p>
            <w:pPr>
              <w:keepNext w:val="0"/>
              <w:spacing w:after="80" w:before="80"/>
            </w:pPr>
            <w:r>
              <w:rPr>
                <w:b w:val="0"/>
                <w:sz w:val="18"/>
              </w:rPr>
              <w:t>Finding</w:t>
            </w:r>
          </w:p>
        </w:tc>
        <w:tc>
          <w:tcPr>
            <w:tcW w:type="dxa" w:w="7200"/>
          </w:tcPr>
          <w:p>
            <w:pPr>
              <w:keepNext w:val="0"/>
              <w:spacing w:after="80" w:before="80"/>
            </w:pPr>
            <w:r>
              <w:rPr>
                <w:b w:val="0"/>
                <w:sz w:val="18"/>
              </w:rPr>
              <w:t>Yes or No.</w:t>
            </w:r>
          </w:p>
        </w:tc>
      </w:tr>
      <w:tr>
        <w:trPr>
          <w:cantSplit/>
        </w:trPr>
        <w:tc>
          <w:tcPr>
            <w:tcW w:type="dxa" w:w="2438"/>
          </w:tcPr>
          <w:p>
            <w:pPr>
              <w:keepNext w:val="0"/>
              <w:spacing w:after="80" w:before="80"/>
            </w:pPr>
            <w:r>
              <w:rPr>
                <w:b w:val="0"/>
                <w:sz w:val="18"/>
              </w:rPr>
              <w:t>Related to the task</w:t>
            </w:r>
          </w:p>
        </w:tc>
        <w:tc>
          <w:tcPr>
            <w:tcW w:type="dxa" w:w="7200"/>
          </w:tcPr>
          <w:p>
            <w:pPr>
              <w:keepNext w:val="0"/>
              <w:spacing w:after="80" w:before="80"/>
            </w:pPr>
            <w:r>
              <w:rPr>
                <w:b w:val="0"/>
                <w:sz w:val="18"/>
              </w:rPr>
              <w:t>Yes or No: does the finding relate to the task or its targeted failure?</w:t>
            </w:r>
          </w:p>
        </w:tc>
      </w:tr>
      <w:tr>
        <w:trPr>
          <w:cantSplit/>
        </w:trPr>
        <w:tc>
          <w:tcPr>
            <w:tcW w:type="dxa" w:w="2438"/>
          </w:tcPr>
          <w:p>
            <w:pPr>
              <w:keepNext w:val="0"/>
              <w:spacing w:after="80" w:before="80"/>
            </w:pPr>
            <w:r>
              <w:rPr>
                <w:b w:val="0"/>
                <w:sz w:val="18"/>
              </w:rPr>
              <w:t>Significant</w:t>
            </w:r>
          </w:p>
        </w:tc>
        <w:tc>
          <w:tcPr>
            <w:tcW w:type="dxa" w:w="7200"/>
          </w:tcPr>
          <w:p>
            <w:pPr>
              <w:keepNext w:val="0"/>
              <w:spacing w:after="80" w:before="80"/>
            </w:pPr>
            <w:r>
              <w:rPr>
                <w:b w:val="0"/>
                <w:sz w:val="18"/>
              </w:rPr>
              <w:t>Yes or No; Description holds the engineering assessment and reason.</w:t>
            </w:r>
          </w:p>
        </w:tc>
      </w:tr>
      <w:tr>
        <w:trPr>
          <w:cantSplit/>
        </w:trPr>
        <w:tc>
          <w:tcPr>
            <w:tcW w:type="dxa" w:w="2438"/>
          </w:tcPr>
          <w:p>
            <w:pPr>
              <w:keepNext w:val="0"/>
              <w:spacing w:after="80" w:before="80"/>
            </w:pPr>
            <w:r>
              <w:rPr>
                <w:b w:val="0"/>
                <w:sz w:val="18"/>
              </w:rPr>
              <w:t>Description</w:t>
            </w:r>
          </w:p>
        </w:tc>
        <w:tc>
          <w:tcPr>
            <w:tcW w:type="dxa" w:w="7200"/>
          </w:tcPr>
          <w:p>
            <w:pPr>
              <w:keepNext w:val="0"/>
              <w:spacing w:after="80" w:before="80"/>
            </w:pPr>
            <w:r>
              <w:rPr>
                <w:b w:val="0"/>
                <w:sz w:val="18"/>
              </w:rPr>
              <w:t>Finding, significance, task revision, source reference and relevant in-service evidence.</w:t>
            </w:r>
          </w:p>
        </w:tc>
      </w:tr>
      <w:tr>
        <w:trPr>
          <w:cantSplit/>
        </w:trPr>
        <w:tc>
          <w:tcPr>
            <w:tcW w:type="dxa" w:w="2438"/>
          </w:tcPr>
          <w:p>
            <w:pPr>
              <w:keepNext w:val="0"/>
              <w:spacing w:after="80" w:before="80"/>
            </w:pPr>
            <w:r>
              <w:rPr>
                <w:b w:val="0"/>
                <w:sz w:val="18"/>
              </w:rPr>
              <w:t>Engineer check</w:t>
            </w:r>
          </w:p>
        </w:tc>
        <w:tc>
          <w:tcPr>
            <w:tcW w:type="dxa" w:w="7200"/>
          </w:tcPr>
          <w:p>
            <w:pPr>
              <w:keepNext w:val="0"/>
              <w:spacing w:after="80" w:before="80"/>
            </w:pPr>
            <w:r>
              <w:rPr>
                <w:b w:val="0"/>
                <w:sz w:val="18"/>
              </w:rPr>
              <w:t>To check or Checked.</w:t>
            </w:r>
          </w:p>
        </w:tc>
      </w:tr>
      <w:tr>
        <w:trPr>
          <w:cantSplit/>
        </w:trPr>
        <w:tc>
          <w:tcPr>
            <w:tcW w:type="dxa" w:w="2438"/>
          </w:tcPr>
          <w:p>
            <w:pPr>
              <w:keepNext w:val="0"/>
              <w:spacing w:after="80" w:before="80"/>
            </w:pPr>
            <w:r>
              <w:rPr>
                <w:b w:val="0"/>
                <w:sz w:val="18"/>
              </w:rPr>
              <w:t>Check reason</w:t>
            </w:r>
          </w:p>
        </w:tc>
        <w:tc>
          <w:tcPr>
            <w:tcW w:type="dxa" w:w="7200"/>
          </w:tcPr>
          <w:p>
            <w:pPr>
              <w:keepNext w:val="0"/>
              <w:spacing w:after="80" w:before="80"/>
            </w:pPr>
            <w:r>
              <w:rPr>
                <w:b w:val="0"/>
                <w:sz w:val="18"/>
              </w:rPr>
              <w:t>The named data problem or correction reference.</w:t>
            </w:r>
          </w:p>
        </w:tc>
      </w:tr>
    </w:tbl>
    <w:p>
      <w:r>
        <w:t>The source-column name Cancellation or diversion may be mapped to Operational event. Aircraft hours and Aircraft cycles are optional totals at the event. Done at is elapsed use since the previous task, in its interval unit. Neither is a monthly total.</w:t>
      </w:r>
    </w:p>
    <w:p>
      <w:pPr>
        <w:pStyle w:val="Heading1"/>
      </w:pPr>
      <w:r>
        <w:t>After approval: finish your document</w:t>
      </w:r>
    </w:p>
    <w:p>
      <w:r>
        <w:t>Keep an editable working copy. After the programme is approved, remove the highlighting from the issued copy: in Word for Windows press Ctrl+A; on Mac press Command+A. On Home, open the Text Highlight Color arrow and choose No Color. If text in a field stays yellow, select that field’s text and apply No Color there too.</w:t>
      </w:r>
    </w:p>
    <w:p>
      <w:r>
        <w:t>Delete the grey Filling hint paragraphs. In Word for Windows use Home → Styles, right-click Filling hint, Select All Instances, then Delete. On Mac click a grey hint, open Home → Styles Pane and use Select All for that style, then Delete. Alternatively delete the short grey italic paragraphs one by one. Check the issued copy before saving it under its controlled filename.</w:t>
      </w:r>
    </w:p>
    <w:p>
      <w:r>
        <w:t>The read-back and confirmation belong before approval, as shown on page 1: fill in, upload to an Avioverse project, ask Metis to read it back and confirm the settings and fleet, then submit by the section 1 approval route. Metis records the fingerprint and confirmation note; this confirms calculation inputs and does not replace approval. Removing highlighting and grey hints does not change the confirmed settings, so Metis does not ask again. If the settings or fleet change, Metis asks for confirmation again.</w:t>
      </w:r>
    </w:p>
    <w:sectPr w:rsidR="00FC693F" w:rsidRPr="0006063C" w:rsidSect="00034616">
      <w:headerReference w:type="default" r:id="rId9"/>
      <w:footerReference w:type="default" r:id="rId10"/>
      <w:pgSz w:w="11906" w:h="16838"/>
      <w:pgMar w:top="1077" w:right="1134" w:bottom="1077"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Aircraft reliability programme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AIRCRAFT RELIABILITY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0"/>
      <w:outlineLvl w:val="0"/>
    </w:pPr>
    <w:rPr>
      <w:rFonts w:asciiTheme="majorHAnsi" w:eastAsiaTheme="majorEastAsia" w:hAnsiTheme="majorHAnsi" w:cstheme="majorBidi" w:ascii="Arial" w:hAnsi="Arial"/>
      <w:b/>
      <w:bCs/>
      <w:color w:val="183E4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83E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E4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llinghint">
    <w:name w:val="Filling hint"/>
    <w:basedOn w:val="Normal"/>
    <w:pPr>
      <w:spacing w:after="140"/>
    </w:pPr>
    <w:rPr>
      <w:i/>
      <w:color w:val="595959"/>
      <w:sz w:val="18"/>
    </w:rPr>
  </w:style>
  <w:style w:type="character" w:customStyle="1" w:styleId="PlaceholderText">
    <w:name w:val="Placeholder Text"/>
    <w:rPr>
      <w:highlight w:val="yellow"/>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s>
</file>

<file path=word/glossary/document.xml><?xml version="1.0" encoding="utf-8"?>
<w:glossaryDocument xmlns:w="http://schemas.openxmlformats.org/wordprocessingml/2006/main">
  <w:docParts>
    <w:docPart>
      <w:docPartPr>
        <w:name w:val="AvioverseFact1"/>
        <w:category>
          <w:name w:val="General"/>
          <w:gallery w:val="placeholder"/>
        </w:category>
        <w:types>
          <w:type w:val="bbPlcHdr"/>
        </w:types>
      </w:docPartPr>
      <w:docPartBody>
        <w:p>
          <w:r>
            <w:rPr>
              <w:rStyle w:val="PlaceholderText"/>
              <w:highlight w:val="yellow"/>
            </w:rPr>
            <w:t xml:space="preserve">[e.g. ExampleCAMO]</w:t>
          </w:r>
        </w:p>
      </w:docPartBody>
    </w:docPart>
    <w:docPart>
      <w:docPartPr>
        <w:name w:val="AvioverseFact2"/>
        <w:category>
          <w:name w:val="General"/>
          <w:gallery w:val="placeholder"/>
        </w:category>
        <w:types>
          <w:type w:val="bbPlcHdr"/>
        </w:types>
      </w:docPartPr>
      <w:docPartBody>
        <w:p>
          <w:r>
            <w:rPr>
              <w:rStyle w:val="PlaceholderText"/>
              <w:highlight w:val="yellow"/>
            </w:rPr>
            <w:t xml:space="preserve">[e.g. Example Type 42]</w:t>
          </w:r>
        </w:p>
      </w:docPartBody>
    </w:docPart>
    <w:docPart>
      <w:docPartPr>
        <w:name w:val="AvioverseFact3"/>
        <w:category>
          <w:name w:val="General"/>
          <w:gallery w:val="placeholder"/>
        </w:category>
        <w:types>
          <w:type w:val="bbPlcHdr"/>
        </w:types>
      </w:docPartPr>
      <w:docPartBody>
        <w:p>
          <w:r>
            <w:rPr>
              <w:rStyle w:val="PlaceholderText"/>
              <w:highlight w:val="yellow"/>
            </w:rPr>
            <w:t xml:space="preserve">[e.g. REL-001]</w:t>
          </w:r>
        </w:p>
      </w:docPartBody>
    </w:docPart>
    <w:docPart>
      <w:docPartPr>
        <w:name w:val="AvioverseFact5"/>
        <w:category>
          <w:name w:val="General"/>
          <w:gallery w:val="placeholder"/>
        </w:category>
        <w:types>
          <w:type w:val="bbPlcHdr"/>
        </w:types>
      </w:docPartPr>
      <w:docPartBody>
        <w:p>
          <w:r>
            <w:rPr>
              <w:rStyle w:val="PlaceholderText"/>
              <w:highlight w:val="yellow"/>
            </w:rPr>
            <w:t xml:space="preserve">[e.g. REL-001]</w:t>
          </w:r>
        </w:p>
      </w:docPartBody>
    </w:docPart>
    <w:docPart>
      <w:docPartPr>
        <w:name w:val="AvioverseFact6"/>
        <w:category>
          <w:name w:val="General"/>
          <w:gallery w:val="placeholder"/>
        </w:category>
        <w:types>
          <w:type w:val="bbPlcHdr"/>
        </w:types>
      </w:docPartPr>
      <w:docPartBody>
        <w:p>
          <w:r>
            <w:rPr>
              <w:rStyle w:val="PlaceholderText"/>
              <w:highlight w:val="yellow"/>
            </w:rPr>
            <w:t xml:space="preserve">[e.g. AMP-042 revision 1]</w:t>
          </w:r>
        </w:p>
      </w:docPartBody>
    </w:docPart>
    <w:docPart>
      <w:docPartPr>
        <w:name w:val="AvioverseFact7"/>
        <w:category>
          <w:name w:val="General"/>
          <w:gallery w:val="placeholder"/>
        </w:category>
        <w:types>
          <w:type w:val="bbPlcHdr"/>
        </w:types>
      </w:docPartPr>
      <w:docPartBody>
        <w:p>
          <w:r>
            <w:rPr>
              <w:rStyle w:val="PlaceholderText"/>
              <w:highlight w:val="yellow"/>
            </w:rPr>
            <w:t xml:space="preserve">[e.g. CAME 1.2]</w:t>
          </w:r>
        </w:p>
      </w:docPartBody>
    </w:docPart>
    <w:docPart>
      <w:docPartPr>
        <w:name w:val="AvioverseFact8"/>
        <w:category>
          <w:name w:val="General"/>
          <w:gallery w:val="placeholder"/>
        </w:category>
        <w:types>
          <w:type w:val="bbPlcHdr"/>
        </w:types>
      </w:docPartPr>
      <w:docPartBody>
        <w:p>
          <w:r>
            <w:rPr>
              <w:rStyle w:val="PlaceholderText"/>
              <w:highlight w:val="yellow"/>
            </w:rPr>
            <w:t xml:space="preserve">[e.g. 1]</w:t>
          </w:r>
        </w:p>
      </w:docPartBody>
    </w:docPart>
    <w:docPart>
      <w:docPartPr>
        <w:name w:val="AvioverseFact9"/>
        <w:category>
          <w:name w:val="General"/>
          <w:gallery w:val="placeholder"/>
        </w:category>
        <w:types>
          <w:type w:val="bbPlcHdr"/>
        </w:types>
      </w:docPartPr>
      <w:docPartBody>
        <w:p>
          <w:r>
            <w:rPr>
              <w:rStyle w:val="PlaceholderText"/>
              <w:highlight w:val="yellow"/>
            </w:rPr>
            <w:t xml:space="preserve">[e.g. 2026-10-20]</w:t>
          </w:r>
        </w:p>
      </w:docPartBody>
    </w:docPart>
    <w:docPart>
      <w:docPartPr>
        <w:name w:val="AvioverseFact11"/>
        <w:category>
          <w:name w:val="General"/>
          <w:gallery w:val="placeholder"/>
        </w:category>
        <w:types>
          <w:type w:val="bbPlcHdr"/>
        </w:types>
      </w:docPartPr>
      <w:docPartBody>
        <w:p>
          <w:r>
            <w:rPr>
              <w:rStyle w:val="PlaceholderText"/>
              <w:highlight w:val="yellow"/>
            </w:rPr>
            <w:t xml:space="preserve">[e.g. A. Example]</w:t>
          </w:r>
        </w:p>
      </w:docPartBody>
    </w:docPart>
    <w:docPart>
      <w:docPartPr>
        <w:name w:val="AvioverseFact19"/>
        <w:category>
          <w:name w:val="General"/>
          <w:gallery w:val="placeholder"/>
        </w:category>
        <w:types>
          <w:type w:val="bbPlcHdr"/>
        </w:types>
      </w:docPartPr>
      <w:docPartBody>
        <w:p>
          <w:r>
            <w:rPr>
              <w:rStyle w:val="PlaceholderText"/>
              <w:highlight w:val="yellow"/>
            </w:rPr>
            <w:t xml:space="preserve">[e.g. MPD-042 revision 1]</w:t>
          </w:r>
        </w:p>
      </w:docPartBody>
    </w:docPart>
    <w:docPart>
      <w:docPartPr>
        <w:name w:val="AvioverseFact30"/>
        <w:category>
          <w:name w:val="General"/>
          <w:gallery w:val="placeholder"/>
        </w:category>
        <w:types>
          <w:type w:val="bbPlcHdr"/>
        </w:types>
      </w:docPartPr>
      <w:docPartBody>
        <w:p>
          <w:r>
            <w:rPr>
              <w:rStyle w:val="PlaceholderText"/>
              <w:highlight w:val="yellow"/>
            </w:rPr>
            <w:t xml:space="preserve">[e.g. MPD-042 revision 1]</w:t>
          </w:r>
        </w:p>
      </w:docPartBody>
    </w:docPart>
    <w:docPart>
      <w:docPartPr>
        <w:name w:val="AvioverseFact31"/>
        <w:category>
          <w:name w:val="General"/>
          <w:gallery w:val="placeholder"/>
        </w:category>
        <w:types>
          <w:type w:val="bbPlcHdr"/>
        </w:types>
      </w:docPartPr>
      <w:docPartBody>
        <w:p>
          <w:r>
            <w:rPr>
              <w:rStyle w:val="PlaceholderText"/>
              <w:highlight w:val="yellow"/>
            </w:rPr>
            <w:t xml:space="preserve">[e.g. XX-EXA]</w:t>
          </w:r>
        </w:p>
      </w:docPartBody>
    </w:docPart>
    <w:docPart>
      <w:docPartPr>
        <w:name w:val="AvioverseFact32"/>
        <w:category>
          <w:name w:val="General"/>
          <w:gallery w:val="placeholder"/>
        </w:category>
        <w:types>
          <w:type w:val="bbPlcHdr"/>
        </w:types>
      </w:docPartPr>
      <w:docPartBody>
        <w:p>
          <w:r>
            <w:rPr>
              <w:rStyle w:val="PlaceholderText"/>
              <w:highlight w:val="yellow"/>
            </w:rPr>
            <w:t xml:space="preserve">[e.g. MSN-EXAMPLE-001]</w:t>
          </w:r>
        </w:p>
      </w:docPartBody>
    </w:docPart>
    <w:docPart>
      <w:docPartPr>
        <w:name w:val="AvioverseFact33"/>
        <w:category>
          <w:name w:val="General"/>
          <w:gallery w:val="placeholder"/>
        </w:category>
        <w:types>
          <w:type w:val="bbPlcHdr"/>
        </w:types>
      </w:docPartPr>
      <w:docPartBody>
        <w:p>
          <w:r>
            <w:rPr>
              <w:rStyle w:val="PlaceholderText"/>
              <w:highlight w:val="yellow"/>
            </w:rPr>
            <w:t xml:space="preserve">[e.g. Example Type 42]</w:t>
          </w:r>
        </w:p>
      </w:docPartBody>
    </w:docPart>
    <w:docPart>
      <w:docPartPr>
        <w:name w:val="AvioverseFact35"/>
        <w:category>
          <w:name w:val="General"/>
          <w:gallery w:val="placeholder"/>
        </w:category>
        <w:types>
          <w:type w:val="bbPlcHdr"/>
        </w:types>
      </w:docPartPr>
      <w:docPartBody>
        <w:p>
          <w:r>
            <w:rPr>
              <w:rStyle w:val="PlaceholderText"/>
              <w:highlight w:val="yellow"/>
            </w:rPr>
            <w:t xml:space="preserve">[e.g. 2024-01-01]</w:t>
          </w:r>
        </w:p>
      </w:docPartBody>
    </w:docPart>
    <w:docPart>
      <w:docPartPr>
        <w:name w:val="AvioverseFact41"/>
        <w:category>
          <w:name w:val="General"/>
          <w:gallery w:val="placeholder"/>
        </w:category>
        <w:types>
          <w:type w:val="bbPlcHdr"/>
        </w:types>
      </w:docPartPr>
      <w:docPartBody>
        <w:p>
          <w:r>
            <w:rPr>
              <w:rStyle w:val="PlaceholderText"/>
              <w:highlight w:val="yellow"/>
            </w:rPr>
            <w:t xml:space="preserve">[e.g. STRUCT-001]</w:t>
          </w:r>
        </w:p>
      </w:docPartBody>
    </w:docPart>
    <w:docPart>
      <w:docPartPr>
        <w:name w:val="AvioverseFact43"/>
        <w:category>
          <w:name w:val="General"/>
          <w:gallery w:val="placeholder"/>
        </w:category>
        <w:types>
          <w:type w:val="bbPlcHdr"/>
        </w:types>
      </w:docPartPr>
      <w:docPartBody>
        <w:p>
          <w:r>
            <w:rPr>
              <w:rStyle w:val="PlaceholderText"/>
              <w:highlight w:val="yellow"/>
            </w:rPr>
            <w:t xml:space="preserve">[e.g. ENG-001]</w:t>
          </w:r>
        </w:p>
      </w:docPartBody>
    </w:docPart>
    <w:docPart>
      <w:docPartPr>
        <w:name w:val="AvioverseFact49"/>
        <w:category>
          <w:name w:val="General"/>
          <w:gallery w:val="placeholder"/>
        </w:category>
        <w:types>
          <w:type w:val="bbPlcHdr"/>
        </w:types>
      </w:docPartPr>
      <w:docPartBody>
        <w:p>
          <w:r>
            <w:rPr>
              <w:rStyle w:val="PlaceholderText"/>
              <w:highlight w:val="yellow"/>
            </w:rPr>
            <w:t xml:space="preserve">[e.g. CAME 1.3]</w:t>
          </w:r>
        </w:p>
      </w:docPartBody>
    </w:docPart>
    <w:docPart>
      <w:docPartPr>
        <w:name w:val="AvioverseFact53"/>
        <w:category>
          <w:name w:val="General"/>
          <w:gallery w:val="placeholder"/>
        </w:category>
        <w:types>
          <w:type w:val="bbPlcHdr"/>
        </w:types>
      </w:docPartPr>
      <w:docPartBody>
        <w:p>
          <w:r>
            <w:rPr>
              <w:rStyle w:val="PlaceholderText"/>
              <w:highlight w:val="yellow"/>
            </w:rPr>
            <w:t xml:space="preserve">[e.g. CAME 1.3]</w:t>
          </w:r>
        </w:p>
      </w:docPartBody>
    </w:docPart>
    <w:docPart>
      <w:docPartPr>
        <w:name w:val="AvioverseFact54"/>
        <w:category>
          <w:name w:val="General"/>
          <w:gallery w:val="placeholder"/>
        </w:category>
        <w:types>
          <w:type w:val="bbPlcHdr"/>
        </w:types>
      </w:docPartPr>
      <w:docPartBody>
        <w:p>
          <w:r>
            <w:rPr>
              <w:rStyle w:val="PlaceholderText"/>
              <w:highlight w:val="yellow"/>
            </w:rPr>
            <w:t xml:space="preserve">[e.g. REL-MIN-001]</w:t>
          </w:r>
        </w:p>
      </w:docPartBody>
    </w:docPart>
    <w:docPart>
      <w:docPartPr>
        <w:name w:val="AvioverseFact55"/>
        <w:category>
          <w:name w:val="General"/>
          <w:gallery w:val="placeholder"/>
        </w:category>
        <w:types>
          <w:type w:val="bbPlcHdr"/>
        </w:types>
      </w:docPartPr>
      <w:docPartBody>
        <w:p>
          <w:r>
            <w:rPr>
              <w:rStyle w:val="PlaceholderText"/>
              <w:highlight w:val="yellow"/>
            </w:rPr>
            <w:t xml:space="preserve">[e.g. ExampleCAMO]</w:t>
          </w:r>
        </w:p>
      </w:docPartBody>
    </w:docPart>
    <w:docPart>
      <w:docPartPr>
        <w:name w:val="AvioverseFact56"/>
        <w:category>
          <w:name w:val="General"/>
          <w:gallery w:val="placeholder"/>
        </w:category>
        <w:types>
          <w:type w:val="bbPlcHdr"/>
        </w:types>
      </w:docPartPr>
      <w:docPartBody>
        <w:p>
          <w:r>
            <w:rPr>
              <w:rStyle w:val="PlaceholderText"/>
              <w:highlight w:val="yellow"/>
            </w:rPr>
            <w:t xml:space="preserve">[e.g. Example Type 42]</w:t>
          </w:r>
        </w:p>
      </w:docPartBody>
    </w:docPart>
    <w:docPart>
      <w:docPartPr>
        <w:name w:val="AvioverseFact82"/>
        <w:category>
          <w:name w:val="General"/>
          <w:gallery w:val="placeholder"/>
        </w:category>
        <w:types>
          <w:type w:val="bbPlcHdr"/>
        </w:types>
      </w:docPartPr>
      <w:docPartBody>
        <w:p>
          <w:r>
            <w:rPr>
              <w:rStyle w:val="PlaceholderText"/>
              <w:highlight w:val="yellow"/>
            </w:rPr>
            <w:t xml:space="preserve">[e.g. CAME 1.4]</w:t>
          </w:r>
        </w:p>
      </w:docPartBody>
    </w:docPart>
    <w:docPart>
      <w:docPartPr>
        <w:name w:val="AvioverseFact97"/>
        <w:category>
          <w:name w:val="General"/>
          <w:gallery w:val="placeholder"/>
        </w:category>
        <w:types>
          <w:type w:val="bbPlcHdr"/>
        </w:types>
      </w:docPartPr>
      <w:docPartBody>
        <w:p>
          <w:r>
            <w:rPr>
              <w:rStyle w:val="PlaceholderText"/>
              <w:highlight w:val="yellow"/>
            </w:rPr>
            <w:t xml:space="preserve">[e.g. CAME 0.3]</w:t>
          </w:r>
        </w:p>
      </w:docPartBody>
    </w:docPart>
    <w:docPart>
      <w:docPartPr>
        <w:name w:val="AvioverseFact102"/>
        <w:category>
          <w:name w:val="General"/>
          <w:gallery w:val="placeholder"/>
        </w:category>
        <w:types>
          <w:type w:val="bbPlcHdr"/>
        </w:types>
      </w:docPartPr>
      <w:docPartBody>
        <w:p>
          <w:r>
            <w:rPr>
              <w:rStyle w:val="PlaceholderText"/>
              <w:highlight w:val="yellow"/>
            </w:rPr>
            <w:t xml:space="preserve">[e.g. Authority focal point]</w:t>
          </w:r>
        </w:p>
      </w:docPartBody>
    </w:docPart>
    <w:docPart>
      <w:docPartPr>
        <w:name w:val="AvioverseFact106"/>
        <w:category>
          <w:name w:val="General"/>
          <w:gallery w:val="placeholder"/>
        </w:category>
        <w:types>
          <w:type w:val="bbPlcHdr"/>
        </w:types>
      </w:docPartPr>
      <w:docPartBody>
        <w:p>
          <w:r>
            <w:rPr>
              <w:rStyle w:val="PlaceholderText"/>
              <w:highlight w:val="yellow"/>
            </w:rPr>
            <w:t xml:space="preserve">[e.g. CAME 1.5]</w:t>
          </w:r>
        </w:p>
      </w:docPartBody>
    </w:docPart>
    <w:docPart>
      <w:docPartPr>
        <w:name w:val="AvioverseFact109"/>
        <w:category>
          <w:name w:val="General"/>
          <w:gallery w:val="placeholder"/>
        </w:category>
        <w:types>
          <w:type w:val="bbPlcHdr"/>
        </w:types>
      </w:docPartPr>
      <w:docPartBody>
        <w:p>
          <w:r>
            <w:rPr>
              <w:rStyle w:val="PlaceholderText"/>
              <w:highlight w:val="yellow"/>
            </w:rPr>
            <w:t xml:space="preserve">[e.g. CAME 1.2]</w:t>
          </w:r>
        </w:p>
      </w:docPartBody>
    </w:docPart>
  </w:docParts>
</w:glossaryDocument>
</file>

<file path=word/glossary/styles.xml><?xml version="1.0" encoding="utf-8"?>
<w:style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style w:type="character" w:customStyle="1" w:styleId="PlaceholderText">
    <w:name w:val="Placeholder Text"/>
    <w:rPr>
      <w:highlight w:val="yellow"/>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Aircraft reliability programme</dc:title>
  <dc:subject/>
  <dc:creator>Avioverse</dc:creator>
  <cp:keywords/>
  <dc:description/>
  <cp:lastModifiedBy/>
  <cp:revision>1</cp:revision>
  <dcterms:created xsi:type="dcterms:W3CDTF">2026-10-19T00:00:00Z</dcterms:created>
  <dcterms:modified xsi:type="dcterms:W3CDTF">2026-10-19T00:00:00Z</dcterms:modified>
  <cp:category/>
  <dc:identifier/>
  <dc:language/>
  <cp:version/>
  <cp:contentStatus/>
</cp:coreProperties>
</file>